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E1" w:rsidRPr="00416D77" w:rsidRDefault="00B01FE1" w:rsidP="00B01FE1">
      <w:pPr>
        <w:spacing w:line="360" w:lineRule="auto"/>
        <w:jc w:val="center"/>
        <w:rPr>
          <w:rFonts w:cstheme="minorHAnsi"/>
          <w:b/>
          <w:sz w:val="48"/>
          <w:szCs w:val="44"/>
        </w:rPr>
      </w:pPr>
      <w:r w:rsidRPr="00416D77">
        <w:rPr>
          <w:rFonts w:cstheme="minorHAnsi"/>
          <w:b/>
          <w:sz w:val="48"/>
          <w:szCs w:val="44"/>
        </w:rPr>
        <w:t>BERGRIVIER MUNICIPALITY</w:t>
      </w:r>
    </w:p>
    <w:p w:rsidR="00B01FE1" w:rsidRDefault="00B01FE1" w:rsidP="00B01FE1">
      <w:pPr>
        <w:spacing w:line="360" w:lineRule="auto"/>
        <w:jc w:val="center"/>
        <w:rPr>
          <w:rFonts w:cstheme="minorHAnsi"/>
          <w:b/>
          <w:sz w:val="48"/>
          <w:szCs w:val="44"/>
        </w:rPr>
      </w:pPr>
      <w:r w:rsidRPr="00416D77">
        <w:rPr>
          <w:rFonts w:cstheme="minorHAnsi"/>
          <w:b/>
          <w:sz w:val="48"/>
          <w:szCs w:val="44"/>
        </w:rPr>
        <w:t>COVID-19</w:t>
      </w:r>
      <w:r>
        <w:rPr>
          <w:rFonts w:cstheme="minorHAnsi"/>
          <w:b/>
          <w:sz w:val="48"/>
          <w:szCs w:val="44"/>
        </w:rPr>
        <w:t>: ECONOMIC RECOVERY PLAN</w:t>
      </w:r>
    </w:p>
    <w:p w:rsidR="00B01FE1" w:rsidRPr="00416D77" w:rsidRDefault="00B01FE1" w:rsidP="00B01FE1">
      <w:pPr>
        <w:spacing w:line="360" w:lineRule="auto"/>
        <w:jc w:val="center"/>
        <w:rPr>
          <w:rFonts w:cstheme="minorHAnsi"/>
          <w:b/>
          <w:sz w:val="48"/>
          <w:szCs w:val="44"/>
        </w:rPr>
      </w:pPr>
      <w:r>
        <w:rPr>
          <w:noProof/>
          <w:lang w:eastAsia="en-ZA"/>
        </w:rPr>
        <w:drawing>
          <wp:anchor distT="0" distB="0" distL="114300" distR="114300" simplePos="0" relativeHeight="251659264" behindDoc="0" locked="0" layoutInCell="1" allowOverlap="1" wp14:anchorId="51E372B7" wp14:editId="1DB4B438">
            <wp:simplePos x="0" y="0"/>
            <wp:positionH relativeFrom="margin">
              <wp:align>center</wp:align>
            </wp:positionH>
            <wp:positionV relativeFrom="margin">
              <wp:posOffset>1840255</wp:posOffset>
            </wp:positionV>
            <wp:extent cx="2406650" cy="3155315"/>
            <wp:effectExtent l="0" t="0" r="0" b="698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6650" cy="315531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sz w:val="48"/>
          <w:szCs w:val="44"/>
        </w:rPr>
        <w:t>AUGUST 2020</w:t>
      </w:r>
    </w:p>
    <w:p w:rsidR="00B01FE1" w:rsidRDefault="00B01FE1" w:rsidP="00B01FE1">
      <w:pPr>
        <w:jc w:val="center"/>
      </w:pPr>
      <w:r>
        <w:rPr>
          <w:noProof/>
          <w:lang w:eastAsia="en-ZA"/>
        </w:rPr>
        <w:drawing>
          <wp:anchor distT="0" distB="0" distL="114300" distR="114300" simplePos="0" relativeHeight="251660288" behindDoc="1" locked="0" layoutInCell="1" allowOverlap="1" wp14:anchorId="61FD64D9" wp14:editId="5112D151">
            <wp:simplePos x="0" y="0"/>
            <wp:positionH relativeFrom="margin">
              <wp:posOffset>696207</wp:posOffset>
            </wp:positionH>
            <wp:positionV relativeFrom="paragraph">
              <wp:posOffset>3341857</wp:posOffset>
            </wp:positionV>
            <wp:extent cx="5055235" cy="3148965"/>
            <wp:effectExtent l="0" t="0" r="0" b="0"/>
            <wp:wrapTopAndBottom/>
            <wp:docPr id="18" name="Picture 18" descr="Frequently Asked Questions - Coronavirus COVID-19 | South Afric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quently Asked Questions - Coronavirus COVID-19 | South Africa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5235" cy="3148965"/>
                    </a:xfrm>
                    <a:prstGeom prst="rect">
                      <a:avLst/>
                    </a:prstGeom>
                    <a:noFill/>
                    <a:ln>
                      <a:noFill/>
                    </a:ln>
                  </pic:spPr>
                </pic:pic>
              </a:graphicData>
            </a:graphic>
          </wp:anchor>
        </w:drawing>
      </w:r>
    </w:p>
    <w:p w:rsidR="00B01FE1" w:rsidRDefault="00B01FE1" w:rsidP="00B01FE1">
      <w:r>
        <w:br w:type="page"/>
      </w:r>
    </w:p>
    <w:sdt>
      <w:sdtPr>
        <w:rPr>
          <w:rFonts w:asciiTheme="minorHAnsi" w:eastAsiaTheme="minorHAnsi" w:hAnsiTheme="minorHAnsi" w:cstheme="minorBidi"/>
          <w:color w:val="auto"/>
          <w:sz w:val="22"/>
          <w:szCs w:val="22"/>
          <w:lang w:val="en-ZA"/>
        </w:rPr>
        <w:id w:val="1086275478"/>
        <w:docPartObj>
          <w:docPartGallery w:val="Table of Contents"/>
          <w:docPartUnique/>
        </w:docPartObj>
      </w:sdtPr>
      <w:sdtEndPr>
        <w:rPr>
          <w:b/>
          <w:bCs/>
          <w:noProof/>
        </w:rPr>
      </w:sdtEndPr>
      <w:sdtContent>
        <w:p w:rsidR="008903D3" w:rsidRDefault="008903D3">
          <w:pPr>
            <w:pStyle w:val="TOCHeading"/>
          </w:pPr>
          <w:r>
            <w:t>Table of Contents</w:t>
          </w:r>
        </w:p>
        <w:p w:rsidR="00042B53" w:rsidRDefault="008903D3">
          <w:pPr>
            <w:pStyle w:val="TOC1"/>
            <w:tabs>
              <w:tab w:val="left" w:pos="440"/>
              <w:tab w:val="right" w:leader="dot" w:pos="9742"/>
            </w:tabs>
            <w:rPr>
              <w:rFonts w:eastAsiaTheme="minorEastAsia"/>
              <w:noProof/>
              <w:lang w:eastAsia="en-ZA"/>
            </w:rPr>
          </w:pPr>
          <w:r>
            <w:fldChar w:fldCharType="begin"/>
          </w:r>
          <w:r>
            <w:instrText xml:space="preserve"> TOC \o "1-3" \h \z \u </w:instrText>
          </w:r>
          <w:r>
            <w:fldChar w:fldCharType="separate"/>
          </w:r>
          <w:hyperlink w:anchor="_Toc46991972" w:history="1">
            <w:r w:rsidR="00042B53" w:rsidRPr="00074CF5">
              <w:rPr>
                <w:rStyle w:val="Hyperlink"/>
                <w:noProof/>
              </w:rPr>
              <w:t>1.</w:t>
            </w:r>
            <w:r w:rsidR="00042B53">
              <w:rPr>
                <w:rFonts w:eastAsiaTheme="minorEastAsia"/>
                <w:noProof/>
                <w:lang w:eastAsia="en-ZA"/>
              </w:rPr>
              <w:tab/>
            </w:r>
            <w:r w:rsidR="00042B53" w:rsidRPr="00074CF5">
              <w:rPr>
                <w:rStyle w:val="Hyperlink"/>
                <w:noProof/>
              </w:rPr>
              <w:t>PURPOSE OF ECONOMIC RECOVERY PLAN</w:t>
            </w:r>
            <w:r w:rsidR="00042B53">
              <w:rPr>
                <w:noProof/>
                <w:webHidden/>
              </w:rPr>
              <w:tab/>
            </w:r>
            <w:r w:rsidR="00042B53">
              <w:rPr>
                <w:noProof/>
                <w:webHidden/>
              </w:rPr>
              <w:fldChar w:fldCharType="begin"/>
            </w:r>
            <w:r w:rsidR="00042B53">
              <w:rPr>
                <w:noProof/>
                <w:webHidden/>
              </w:rPr>
              <w:instrText xml:space="preserve"> PAGEREF _Toc46991972 \h </w:instrText>
            </w:r>
            <w:r w:rsidR="00042B53">
              <w:rPr>
                <w:noProof/>
                <w:webHidden/>
              </w:rPr>
            </w:r>
            <w:r w:rsidR="00042B53">
              <w:rPr>
                <w:noProof/>
                <w:webHidden/>
              </w:rPr>
              <w:fldChar w:fldCharType="separate"/>
            </w:r>
            <w:r w:rsidR="00042B53">
              <w:rPr>
                <w:noProof/>
                <w:webHidden/>
              </w:rPr>
              <w:t>3</w:t>
            </w:r>
            <w:r w:rsidR="00042B53">
              <w:rPr>
                <w:noProof/>
                <w:webHidden/>
              </w:rPr>
              <w:fldChar w:fldCharType="end"/>
            </w:r>
          </w:hyperlink>
        </w:p>
        <w:p w:rsidR="00042B53" w:rsidRDefault="00042B53">
          <w:pPr>
            <w:pStyle w:val="TOC1"/>
            <w:tabs>
              <w:tab w:val="left" w:pos="440"/>
              <w:tab w:val="right" w:leader="dot" w:pos="9742"/>
            </w:tabs>
            <w:rPr>
              <w:rFonts w:eastAsiaTheme="minorEastAsia"/>
              <w:noProof/>
              <w:lang w:eastAsia="en-ZA"/>
            </w:rPr>
          </w:pPr>
          <w:hyperlink w:anchor="_Toc46991973" w:history="1">
            <w:r w:rsidRPr="00074CF5">
              <w:rPr>
                <w:rStyle w:val="Hyperlink"/>
                <w:noProof/>
              </w:rPr>
              <w:t>2.</w:t>
            </w:r>
            <w:r>
              <w:rPr>
                <w:rFonts w:eastAsiaTheme="minorEastAsia"/>
                <w:noProof/>
                <w:lang w:eastAsia="en-ZA"/>
              </w:rPr>
              <w:tab/>
            </w:r>
            <w:r w:rsidRPr="00074CF5">
              <w:rPr>
                <w:rStyle w:val="Hyperlink"/>
                <w:noProof/>
              </w:rPr>
              <w:t>METHODOLOGY</w:t>
            </w:r>
            <w:r>
              <w:rPr>
                <w:noProof/>
                <w:webHidden/>
              </w:rPr>
              <w:tab/>
            </w:r>
            <w:r>
              <w:rPr>
                <w:noProof/>
                <w:webHidden/>
              </w:rPr>
              <w:fldChar w:fldCharType="begin"/>
            </w:r>
            <w:r>
              <w:rPr>
                <w:noProof/>
                <w:webHidden/>
              </w:rPr>
              <w:instrText xml:space="preserve"> PAGEREF _Toc46991973 \h </w:instrText>
            </w:r>
            <w:r>
              <w:rPr>
                <w:noProof/>
                <w:webHidden/>
              </w:rPr>
            </w:r>
            <w:r>
              <w:rPr>
                <w:noProof/>
                <w:webHidden/>
              </w:rPr>
              <w:fldChar w:fldCharType="separate"/>
            </w:r>
            <w:r>
              <w:rPr>
                <w:noProof/>
                <w:webHidden/>
              </w:rPr>
              <w:t>3</w:t>
            </w:r>
            <w:r>
              <w:rPr>
                <w:noProof/>
                <w:webHidden/>
              </w:rPr>
              <w:fldChar w:fldCharType="end"/>
            </w:r>
          </w:hyperlink>
        </w:p>
        <w:p w:rsidR="00042B53" w:rsidRDefault="00042B53">
          <w:pPr>
            <w:pStyle w:val="TOC1"/>
            <w:tabs>
              <w:tab w:val="right" w:leader="dot" w:pos="9742"/>
            </w:tabs>
            <w:rPr>
              <w:rFonts w:eastAsiaTheme="minorEastAsia"/>
              <w:noProof/>
              <w:lang w:eastAsia="en-ZA"/>
            </w:rPr>
          </w:pPr>
          <w:hyperlink w:anchor="_Toc46991974" w:history="1">
            <w:r w:rsidRPr="00074CF5">
              <w:rPr>
                <w:rStyle w:val="Hyperlink"/>
                <w:noProof/>
              </w:rPr>
              <w:t>3. SITUATIONAL ANALYSIS: IMPACT OF COVID-19 ON THE ECONOMY</w:t>
            </w:r>
            <w:r>
              <w:rPr>
                <w:noProof/>
                <w:webHidden/>
              </w:rPr>
              <w:tab/>
            </w:r>
            <w:r>
              <w:rPr>
                <w:noProof/>
                <w:webHidden/>
              </w:rPr>
              <w:fldChar w:fldCharType="begin"/>
            </w:r>
            <w:r>
              <w:rPr>
                <w:noProof/>
                <w:webHidden/>
              </w:rPr>
              <w:instrText xml:space="preserve"> PAGEREF _Toc46991974 \h </w:instrText>
            </w:r>
            <w:r>
              <w:rPr>
                <w:noProof/>
                <w:webHidden/>
              </w:rPr>
            </w:r>
            <w:r>
              <w:rPr>
                <w:noProof/>
                <w:webHidden/>
              </w:rPr>
              <w:fldChar w:fldCharType="separate"/>
            </w:r>
            <w:r>
              <w:rPr>
                <w:noProof/>
                <w:webHidden/>
              </w:rPr>
              <w:t>3</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75" w:history="1">
            <w:r w:rsidRPr="00074CF5">
              <w:rPr>
                <w:rStyle w:val="Hyperlink"/>
                <w:noProof/>
              </w:rPr>
              <w:t>3.1</w:t>
            </w:r>
            <w:r>
              <w:rPr>
                <w:rFonts w:eastAsiaTheme="minorEastAsia"/>
                <w:noProof/>
                <w:lang w:eastAsia="en-ZA"/>
              </w:rPr>
              <w:tab/>
            </w:r>
            <w:r w:rsidRPr="00074CF5">
              <w:rPr>
                <w:rStyle w:val="Hyperlink"/>
                <w:noProof/>
              </w:rPr>
              <w:t>Western Cape Government: Model developed to measure impact of Covid-19</w:t>
            </w:r>
            <w:r>
              <w:rPr>
                <w:noProof/>
                <w:webHidden/>
              </w:rPr>
              <w:tab/>
            </w:r>
            <w:r>
              <w:rPr>
                <w:noProof/>
                <w:webHidden/>
              </w:rPr>
              <w:fldChar w:fldCharType="begin"/>
            </w:r>
            <w:r>
              <w:rPr>
                <w:noProof/>
                <w:webHidden/>
              </w:rPr>
              <w:instrText xml:space="preserve"> PAGEREF _Toc46991975 \h </w:instrText>
            </w:r>
            <w:r>
              <w:rPr>
                <w:noProof/>
                <w:webHidden/>
              </w:rPr>
            </w:r>
            <w:r>
              <w:rPr>
                <w:noProof/>
                <w:webHidden/>
              </w:rPr>
              <w:fldChar w:fldCharType="separate"/>
            </w:r>
            <w:r>
              <w:rPr>
                <w:noProof/>
                <w:webHidden/>
              </w:rPr>
              <w:t>3</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76" w:history="1">
            <w:r w:rsidRPr="00074CF5">
              <w:rPr>
                <w:rStyle w:val="Hyperlink"/>
                <w:noProof/>
              </w:rPr>
              <w:t>3.2</w:t>
            </w:r>
            <w:r>
              <w:rPr>
                <w:rFonts w:eastAsiaTheme="minorEastAsia"/>
                <w:noProof/>
                <w:lang w:eastAsia="en-ZA"/>
              </w:rPr>
              <w:tab/>
            </w:r>
            <w:r w:rsidRPr="00074CF5">
              <w:rPr>
                <w:rStyle w:val="Hyperlink"/>
                <w:noProof/>
              </w:rPr>
              <w:t>West Coast District: Impact of Covid-19 on the economy of the West Coast</w:t>
            </w:r>
            <w:r>
              <w:rPr>
                <w:noProof/>
                <w:webHidden/>
              </w:rPr>
              <w:tab/>
            </w:r>
            <w:r>
              <w:rPr>
                <w:noProof/>
                <w:webHidden/>
              </w:rPr>
              <w:fldChar w:fldCharType="begin"/>
            </w:r>
            <w:r>
              <w:rPr>
                <w:noProof/>
                <w:webHidden/>
              </w:rPr>
              <w:instrText xml:space="preserve"> PAGEREF _Toc46991976 \h </w:instrText>
            </w:r>
            <w:r>
              <w:rPr>
                <w:noProof/>
                <w:webHidden/>
              </w:rPr>
            </w:r>
            <w:r>
              <w:rPr>
                <w:noProof/>
                <w:webHidden/>
              </w:rPr>
              <w:fldChar w:fldCharType="separate"/>
            </w:r>
            <w:r>
              <w:rPr>
                <w:noProof/>
                <w:webHidden/>
              </w:rPr>
              <w:t>6</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77" w:history="1">
            <w:r w:rsidRPr="00074CF5">
              <w:rPr>
                <w:rStyle w:val="Hyperlink"/>
                <w:noProof/>
              </w:rPr>
              <w:t>3.3</w:t>
            </w:r>
            <w:r>
              <w:rPr>
                <w:rFonts w:eastAsiaTheme="minorEastAsia"/>
                <w:noProof/>
                <w:lang w:eastAsia="en-ZA"/>
              </w:rPr>
              <w:tab/>
            </w:r>
            <w:r w:rsidRPr="00074CF5">
              <w:rPr>
                <w:rStyle w:val="Hyperlink"/>
                <w:noProof/>
              </w:rPr>
              <w:t>Bergrivier Municipality: Impact of covid-19 on the economy of Bergrivier Municipality</w:t>
            </w:r>
            <w:r>
              <w:rPr>
                <w:noProof/>
                <w:webHidden/>
              </w:rPr>
              <w:tab/>
            </w:r>
            <w:r>
              <w:rPr>
                <w:noProof/>
                <w:webHidden/>
              </w:rPr>
              <w:fldChar w:fldCharType="begin"/>
            </w:r>
            <w:r>
              <w:rPr>
                <w:noProof/>
                <w:webHidden/>
              </w:rPr>
              <w:instrText xml:space="preserve"> PAGEREF _Toc46991977 \h </w:instrText>
            </w:r>
            <w:r>
              <w:rPr>
                <w:noProof/>
                <w:webHidden/>
              </w:rPr>
            </w:r>
            <w:r>
              <w:rPr>
                <w:noProof/>
                <w:webHidden/>
              </w:rPr>
              <w:fldChar w:fldCharType="separate"/>
            </w:r>
            <w:r>
              <w:rPr>
                <w:noProof/>
                <w:webHidden/>
              </w:rPr>
              <w:t>7</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78" w:history="1">
            <w:r w:rsidRPr="00074CF5">
              <w:rPr>
                <w:rStyle w:val="Hyperlink"/>
                <w:noProof/>
              </w:rPr>
              <w:t>3.4</w:t>
            </w:r>
            <w:r>
              <w:rPr>
                <w:rFonts w:eastAsiaTheme="minorEastAsia"/>
                <w:noProof/>
                <w:lang w:eastAsia="en-ZA"/>
              </w:rPr>
              <w:tab/>
            </w:r>
            <w:r w:rsidRPr="00074CF5">
              <w:rPr>
                <w:rStyle w:val="Hyperlink"/>
                <w:noProof/>
              </w:rPr>
              <w:t>The Joint District Approach in and for the West Coast</w:t>
            </w:r>
            <w:r>
              <w:rPr>
                <w:noProof/>
                <w:webHidden/>
              </w:rPr>
              <w:tab/>
            </w:r>
            <w:r>
              <w:rPr>
                <w:noProof/>
                <w:webHidden/>
              </w:rPr>
              <w:fldChar w:fldCharType="begin"/>
            </w:r>
            <w:r>
              <w:rPr>
                <w:noProof/>
                <w:webHidden/>
              </w:rPr>
              <w:instrText xml:space="preserve"> PAGEREF _Toc46991978 \h </w:instrText>
            </w:r>
            <w:r>
              <w:rPr>
                <w:noProof/>
                <w:webHidden/>
              </w:rPr>
            </w:r>
            <w:r>
              <w:rPr>
                <w:noProof/>
                <w:webHidden/>
              </w:rPr>
              <w:fldChar w:fldCharType="separate"/>
            </w:r>
            <w:r>
              <w:rPr>
                <w:noProof/>
                <w:webHidden/>
              </w:rPr>
              <w:t>10</w:t>
            </w:r>
            <w:r>
              <w:rPr>
                <w:noProof/>
                <w:webHidden/>
              </w:rPr>
              <w:fldChar w:fldCharType="end"/>
            </w:r>
          </w:hyperlink>
        </w:p>
        <w:p w:rsidR="00042B53" w:rsidRDefault="00042B53">
          <w:pPr>
            <w:pStyle w:val="TOC1"/>
            <w:tabs>
              <w:tab w:val="right" w:leader="dot" w:pos="9742"/>
            </w:tabs>
            <w:rPr>
              <w:rFonts w:eastAsiaTheme="minorEastAsia"/>
              <w:noProof/>
              <w:lang w:eastAsia="en-ZA"/>
            </w:rPr>
          </w:pPr>
          <w:hyperlink w:anchor="_Toc46991979" w:history="1">
            <w:r w:rsidRPr="00074CF5">
              <w:rPr>
                <w:rStyle w:val="Hyperlink"/>
                <w:noProof/>
              </w:rPr>
              <w:t>4. POTENTIAL SHORT-, MEDIUM AND LONG TERM INTERVENTIONS IN THE ECONOMIC RECOVERY FOR BERGRIVIER MUNICIPALITY</w:t>
            </w:r>
            <w:r>
              <w:rPr>
                <w:noProof/>
                <w:webHidden/>
              </w:rPr>
              <w:tab/>
            </w:r>
            <w:r>
              <w:rPr>
                <w:noProof/>
                <w:webHidden/>
              </w:rPr>
              <w:fldChar w:fldCharType="begin"/>
            </w:r>
            <w:r>
              <w:rPr>
                <w:noProof/>
                <w:webHidden/>
              </w:rPr>
              <w:instrText xml:space="preserve"> PAGEREF _Toc46991979 \h </w:instrText>
            </w:r>
            <w:r>
              <w:rPr>
                <w:noProof/>
                <w:webHidden/>
              </w:rPr>
            </w:r>
            <w:r>
              <w:rPr>
                <w:noProof/>
                <w:webHidden/>
              </w:rPr>
              <w:fldChar w:fldCharType="separate"/>
            </w:r>
            <w:r>
              <w:rPr>
                <w:noProof/>
                <w:webHidden/>
              </w:rPr>
              <w:t>12</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80" w:history="1">
            <w:r w:rsidRPr="00074CF5">
              <w:rPr>
                <w:rStyle w:val="Hyperlink"/>
                <w:noProof/>
              </w:rPr>
              <w:t>4.1</w:t>
            </w:r>
            <w:r>
              <w:rPr>
                <w:rFonts w:eastAsiaTheme="minorEastAsia"/>
                <w:noProof/>
                <w:lang w:eastAsia="en-ZA"/>
              </w:rPr>
              <w:tab/>
            </w:r>
            <w:r w:rsidRPr="00074CF5">
              <w:rPr>
                <w:rStyle w:val="Hyperlink"/>
                <w:noProof/>
              </w:rPr>
              <w:t>Points of Departure</w:t>
            </w:r>
            <w:r>
              <w:rPr>
                <w:noProof/>
                <w:webHidden/>
              </w:rPr>
              <w:tab/>
            </w:r>
            <w:r>
              <w:rPr>
                <w:noProof/>
                <w:webHidden/>
              </w:rPr>
              <w:fldChar w:fldCharType="begin"/>
            </w:r>
            <w:r>
              <w:rPr>
                <w:noProof/>
                <w:webHidden/>
              </w:rPr>
              <w:instrText xml:space="preserve"> PAGEREF _Toc46991980 \h </w:instrText>
            </w:r>
            <w:r>
              <w:rPr>
                <w:noProof/>
                <w:webHidden/>
              </w:rPr>
            </w:r>
            <w:r>
              <w:rPr>
                <w:noProof/>
                <w:webHidden/>
              </w:rPr>
              <w:fldChar w:fldCharType="separate"/>
            </w:r>
            <w:r>
              <w:rPr>
                <w:noProof/>
                <w:webHidden/>
              </w:rPr>
              <w:t>12</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81" w:history="1">
            <w:r w:rsidRPr="00074CF5">
              <w:rPr>
                <w:rStyle w:val="Hyperlink"/>
                <w:noProof/>
              </w:rPr>
              <w:t xml:space="preserve">4.2 </w:t>
            </w:r>
            <w:r>
              <w:rPr>
                <w:rFonts w:eastAsiaTheme="minorEastAsia"/>
                <w:noProof/>
                <w:lang w:eastAsia="en-ZA"/>
              </w:rPr>
              <w:tab/>
            </w:r>
            <w:r w:rsidRPr="00074CF5">
              <w:rPr>
                <w:rStyle w:val="Hyperlink"/>
                <w:noProof/>
              </w:rPr>
              <w:t>Practical implementation plans for Bergrivier Municipal Area</w:t>
            </w:r>
            <w:r>
              <w:rPr>
                <w:noProof/>
                <w:webHidden/>
              </w:rPr>
              <w:tab/>
            </w:r>
            <w:r>
              <w:rPr>
                <w:noProof/>
                <w:webHidden/>
              </w:rPr>
              <w:fldChar w:fldCharType="begin"/>
            </w:r>
            <w:r>
              <w:rPr>
                <w:noProof/>
                <w:webHidden/>
              </w:rPr>
              <w:instrText xml:space="preserve"> PAGEREF _Toc46991981 \h </w:instrText>
            </w:r>
            <w:r>
              <w:rPr>
                <w:noProof/>
                <w:webHidden/>
              </w:rPr>
            </w:r>
            <w:r>
              <w:rPr>
                <w:noProof/>
                <w:webHidden/>
              </w:rPr>
              <w:fldChar w:fldCharType="separate"/>
            </w:r>
            <w:r>
              <w:rPr>
                <w:noProof/>
                <w:webHidden/>
              </w:rPr>
              <w:t>13</w:t>
            </w:r>
            <w:r>
              <w:rPr>
                <w:noProof/>
                <w:webHidden/>
              </w:rPr>
              <w:fldChar w:fldCharType="end"/>
            </w:r>
          </w:hyperlink>
        </w:p>
        <w:p w:rsidR="00042B53" w:rsidRDefault="00042B53">
          <w:pPr>
            <w:pStyle w:val="TOC3"/>
            <w:tabs>
              <w:tab w:val="right" w:leader="dot" w:pos="9742"/>
            </w:tabs>
            <w:rPr>
              <w:rFonts w:eastAsiaTheme="minorEastAsia"/>
              <w:noProof/>
              <w:lang w:eastAsia="en-ZA"/>
            </w:rPr>
          </w:pPr>
          <w:hyperlink w:anchor="_Toc46991982" w:history="1">
            <w:r w:rsidRPr="00074CF5">
              <w:rPr>
                <w:rStyle w:val="Hyperlink"/>
                <w:noProof/>
              </w:rPr>
              <w:t>4.2.1 Impact per sector</w:t>
            </w:r>
            <w:r>
              <w:rPr>
                <w:noProof/>
                <w:webHidden/>
              </w:rPr>
              <w:tab/>
            </w:r>
            <w:r>
              <w:rPr>
                <w:noProof/>
                <w:webHidden/>
              </w:rPr>
              <w:fldChar w:fldCharType="begin"/>
            </w:r>
            <w:r>
              <w:rPr>
                <w:noProof/>
                <w:webHidden/>
              </w:rPr>
              <w:instrText xml:space="preserve"> PAGEREF _Toc46991982 \h </w:instrText>
            </w:r>
            <w:r>
              <w:rPr>
                <w:noProof/>
                <w:webHidden/>
              </w:rPr>
            </w:r>
            <w:r>
              <w:rPr>
                <w:noProof/>
                <w:webHidden/>
              </w:rPr>
              <w:fldChar w:fldCharType="separate"/>
            </w:r>
            <w:r>
              <w:rPr>
                <w:noProof/>
                <w:webHidden/>
              </w:rPr>
              <w:t>13</w:t>
            </w:r>
            <w:r>
              <w:rPr>
                <w:noProof/>
                <w:webHidden/>
              </w:rPr>
              <w:fldChar w:fldCharType="end"/>
            </w:r>
          </w:hyperlink>
        </w:p>
        <w:p w:rsidR="00042B53" w:rsidRDefault="00042B53">
          <w:pPr>
            <w:pStyle w:val="TOC3"/>
            <w:tabs>
              <w:tab w:val="right" w:leader="dot" w:pos="9742"/>
            </w:tabs>
            <w:rPr>
              <w:rFonts w:eastAsiaTheme="minorEastAsia"/>
              <w:noProof/>
              <w:lang w:eastAsia="en-ZA"/>
            </w:rPr>
          </w:pPr>
          <w:hyperlink w:anchor="_Toc46991983" w:history="1">
            <w:r w:rsidRPr="00074CF5">
              <w:rPr>
                <w:rStyle w:val="Hyperlink"/>
                <w:noProof/>
              </w:rPr>
              <w:t>4.2.2 Implementation Plan</w:t>
            </w:r>
            <w:r>
              <w:rPr>
                <w:noProof/>
                <w:webHidden/>
              </w:rPr>
              <w:tab/>
            </w:r>
            <w:r>
              <w:rPr>
                <w:noProof/>
                <w:webHidden/>
              </w:rPr>
              <w:fldChar w:fldCharType="begin"/>
            </w:r>
            <w:r>
              <w:rPr>
                <w:noProof/>
                <w:webHidden/>
              </w:rPr>
              <w:instrText xml:space="preserve"> PAGEREF _Toc46991983 \h </w:instrText>
            </w:r>
            <w:r>
              <w:rPr>
                <w:noProof/>
                <w:webHidden/>
              </w:rPr>
            </w:r>
            <w:r>
              <w:rPr>
                <w:noProof/>
                <w:webHidden/>
              </w:rPr>
              <w:fldChar w:fldCharType="separate"/>
            </w:r>
            <w:r>
              <w:rPr>
                <w:noProof/>
                <w:webHidden/>
              </w:rPr>
              <w:t>15</w:t>
            </w:r>
            <w:r>
              <w:rPr>
                <w:noProof/>
                <w:webHidden/>
              </w:rPr>
              <w:fldChar w:fldCharType="end"/>
            </w:r>
          </w:hyperlink>
        </w:p>
        <w:p w:rsidR="00042B53" w:rsidRDefault="00042B53">
          <w:pPr>
            <w:pStyle w:val="TOC2"/>
            <w:tabs>
              <w:tab w:val="left" w:pos="880"/>
              <w:tab w:val="right" w:leader="dot" w:pos="9742"/>
            </w:tabs>
            <w:rPr>
              <w:rFonts w:eastAsiaTheme="minorEastAsia"/>
              <w:noProof/>
              <w:lang w:eastAsia="en-ZA"/>
            </w:rPr>
          </w:pPr>
          <w:hyperlink w:anchor="_Toc46991984" w:history="1">
            <w:r w:rsidRPr="00074CF5">
              <w:rPr>
                <w:rStyle w:val="Hyperlink"/>
                <w:noProof/>
              </w:rPr>
              <w:t>4.3</w:t>
            </w:r>
            <w:r>
              <w:rPr>
                <w:rFonts w:eastAsiaTheme="minorEastAsia"/>
                <w:noProof/>
                <w:lang w:eastAsia="en-ZA"/>
              </w:rPr>
              <w:tab/>
            </w:r>
            <w:r w:rsidRPr="00074CF5">
              <w:rPr>
                <w:rStyle w:val="Hyperlink"/>
                <w:noProof/>
              </w:rPr>
              <w:t>Current funding options for businesses</w:t>
            </w:r>
            <w:r>
              <w:rPr>
                <w:noProof/>
                <w:webHidden/>
              </w:rPr>
              <w:tab/>
            </w:r>
            <w:r>
              <w:rPr>
                <w:noProof/>
                <w:webHidden/>
              </w:rPr>
              <w:fldChar w:fldCharType="begin"/>
            </w:r>
            <w:r>
              <w:rPr>
                <w:noProof/>
                <w:webHidden/>
              </w:rPr>
              <w:instrText xml:space="preserve"> PAGEREF _Toc46991984 \h </w:instrText>
            </w:r>
            <w:r>
              <w:rPr>
                <w:noProof/>
                <w:webHidden/>
              </w:rPr>
            </w:r>
            <w:r>
              <w:rPr>
                <w:noProof/>
                <w:webHidden/>
              </w:rPr>
              <w:fldChar w:fldCharType="separate"/>
            </w:r>
            <w:r>
              <w:rPr>
                <w:noProof/>
                <w:webHidden/>
              </w:rPr>
              <w:t>20</w:t>
            </w:r>
            <w:r>
              <w:rPr>
                <w:noProof/>
                <w:webHidden/>
              </w:rPr>
              <w:fldChar w:fldCharType="end"/>
            </w:r>
          </w:hyperlink>
        </w:p>
        <w:p w:rsidR="008903D3" w:rsidRDefault="008903D3">
          <w:r>
            <w:rPr>
              <w:b/>
              <w:bCs/>
              <w:noProof/>
            </w:rPr>
            <w:fldChar w:fldCharType="end"/>
          </w:r>
        </w:p>
      </w:sdtContent>
    </w:sdt>
    <w:p w:rsidR="008903D3" w:rsidRDefault="008903D3"/>
    <w:p w:rsidR="008903D3" w:rsidRDefault="008903D3">
      <w:r>
        <w:br w:type="page"/>
      </w:r>
    </w:p>
    <w:p w:rsidR="008903D3" w:rsidRDefault="008903D3" w:rsidP="00B01FE1"/>
    <w:p w:rsidR="0067487A" w:rsidRDefault="00B01FE1" w:rsidP="008903D3">
      <w:pPr>
        <w:pStyle w:val="Heading1"/>
        <w:numPr>
          <w:ilvl w:val="0"/>
          <w:numId w:val="22"/>
        </w:numPr>
      </w:pPr>
      <w:bookmarkStart w:id="0" w:name="_Toc46991972"/>
      <w:r>
        <w:t>PURPOSE OF ECONOMIC RECOVERY PLAN</w:t>
      </w:r>
      <w:bookmarkEnd w:id="0"/>
    </w:p>
    <w:p w:rsidR="001F3378" w:rsidRDefault="001F3378" w:rsidP="001F3378">
      <w:pPr>
        <w:spacing w:before="120" w:after="120" w:line="360" w:lineRule="auto"/>
        <w:jc w:val="both"/>
      </w:pPr>
      <w:r>
        <w:t>South Africa currently is in a fiscally constrained environment with a domestic market in recession.  With lockdown since March 2020, it means continuous business closures, more job losses, decreasing demand for products and services leading to even more busin</w:t>
      </w:r>
      <w:r w:rsidR="00233B7D">
        <w:t>ess closures and job losses.  In</w:t>
      </w:r>
      <w:r>
        <w:t xml:space="preserve"> the light of this context, an Economic Recovery plan for Bergrivier Municipality is required with short-, medium- en long term plans to facilitate a potential </w:t>
      </w:r>
      <w:r w:rsidR="00F038D5">
        <w:t>turnaround</w:t>
      </w:r>
      <w:r>
        <w:t xml:space="preserve"> of the current distressing circumstances of and for the business sector.</w:t>
      </w:r>
    </w:p>
    <w:p w:rsidR="001F3378" w:rsidRDefault="001F3378" w:rsidP="008903D3">
      <w:pPr>
        <w:pStyle w:val="Heading1"/>
        <w:numPr>
          <w:ilvl w:val="0"/>
          <w:numId w:val="22"/>
        </w:numPr>
      </w:pPr>
      <w:bookmarkStart w:id="1" w:name="_Toc46991973"/>
      <w:r>
        <w:t>METHODOLOGY</w:t>
      </w:r>
      <w:bookmarkEnd w:id="1"/>
    </w:p>
    <w:p w:rsidR="001F3378" w:rsidRDefault="001F3378" w:rsidP="001F3378">
      <w:pPr>
        <w:spacing w:before="120" w:after="120" w:line="360" w:lineRule="auto"/>
        <w:ind w:left="360"/>
        <w:jc w:val="both"/>
      </w:pPr>
      <w:r>
        <w:t>In drafting the Bergrivier Municipality Economic Recovery Plan, the following methodology was used:</w:t>
      </w:r>
    </w:p>
    <w:p w:rsidR="001F3378" w:rsidRDefault="001F3378" w:rsidP="001F3378">
      <w:pPr>
        <w:pStyle w:val="ListParagraph"/>
        <w:numPr>
          <w:ilvl w:val="0"/>
          <w:numId w:val="12"/>
        </w:numPr>
        <w:spacing w:before="120" w:after="120" w:line="360" w:lineRule="auto"/>
        <w:jc w:val="both"/>
      </w:pPr>
      <w:r>
        <w:t>The Western Cape Economic Recovery Model was used as the baseline information to inform the strategy for Bergrivier Municipality</w:t>
      </w:r>
      <w:r w:rsidR="009052BF">
        <w:t>;</w:t>
      </w:r>
    </w:p>
    <w:p w:rsidR="001F3378" w:rsidRDefault="001F3378" w:rsidP="001F3378">
      <w:pPr>
        <w:pStyle w:val="ListParagraph"/>
        <w:numPr>
          <w:ilvl w:val="0"/>
          <w:numId w:val="12"/>
        </w:numPr>
        <w:spacing w:before="120" w:after="120" w:line="360" w:lineRule="auto"/>
        <w:jc w:val="both"/>
      </w:pPr>
      <w:r>
        <w:t>A virtual meeting was held on Friday, 24 July 2020, with the stakeholders in the tourism industry in Bergrivier Municipal Area and include</w:t>
      </w:r>
      <w:r w:rsidR="009052BF">
        <w:t>d the manager and the various tourism officials in Bergrivier Municipal Area.  A follow-up meeting will t</w:t>
      </w:r>
      <w:r w:rsidR="00233B7D">
        <w:t>ook</w:t>
      </w:r>
      <w:r w:rsidR="009052BF">
        <w:t xml:space="preserve"> on 29 July 2020.</w:t>
      </w:r>
      <w:r>
        <w:t xml:space="preserve"> </w:t>
      </w:r>
    </w:p>
    <w:p w:rsidR="001F3378" w:rsidRDefault="001F3378" w:rsidP="001F3378">
      <w:pPr>
        <w:pStyle w:val="ListParagraph"/>
        <w:numPr>
          <w:ilvl w:val="0"/>
          <w:numId w:val="12"/>
        </w:numPr>
        <w:spacing w:before="120" w:after="120" w:line="360" w:lineRule="auto"/>
        <w:jc w:val="both"/>
      </w:pPr>
      <w:r>
        <w:t>A survey with questions on the impact of Covid-19 on businesses in Bergrivier Municipal Areas was distributed amongst businesses.  The questionnaire is attached.</w:t>
      </w:r>
      <w:r w:rsidR="001711DF">
        <w:t xml:space="preserve">  (Due to the low response rate, no significant analysis could be made from the surveys received).</w:t>
      </w:r>
    </w:p>
    <w:p w:rsidR="001F3378" w:rsidRDefault="001F3378" w:rsidP="001F3378">
      <w:pPr>
        <w:pStyle w:val="ListParagraph"/>
        <w:numPr>
          <w:ilvl w:val="0"/>
          <w:numId w:val="12"/>
        </w:numPr>
        <w:spacing w:before="120" w:after="120" w:line="360" w:lineRule="auto"/>
        <w:jc w:val="both"/>
      </w:pPr>
      <w:r>
        <w:t>Stakeholders that have been consulted included Western Cape Department of Economic Devel</w:t>
      </w:r>
      <w:r w:rsidR="009052BF">
        <w:t xml:space="preserve">opment and Tourism, Wesgro, </w:t>
      </w:r>
      <w:r>
        <w:t>SMME Forums in Bergrivier Municipal Area, local tourism offices</w:t>
      </w:r>
      <w:r w:rsidR="009052BF">
        <w:t xml:space="preserve"> and the Saldanha IDZ.</w:t>
      </w:r>
    </w:p>
    <w:p w:rsidR="001F3378" w:rsidRDefault="001F3378" w:rsidP="001F3378">
      <w:pPr>
        <w:pStyle w:val="ListParagraph"/>
        <w:numPr>
          <w:ilvl w:val="0"/>
          <w:numId w:val="12"/>
        </w:numPr>
        <w:spacing w:before="120" w:after="120" w:line="360" w:lineRule="auto"/>
        <w:jc w:val="both"/>
      </w:pPr>
      <w:r>
        <w:t>Weekly virtual meetings with district LED Manage</w:t>
      </w:r>
      <w:r w:rsidR="009052BF">
        <w:t>r</w:t>
      </w:r>
      <w:r>
        <w:t>s and provincial stakeholders were attended and inputs from these meetings were included in the draft Bergrivier Economic Recovery Plan;</w:t>
      </w:r>
    </w:p>
    <w:p w:rsidR="001F3378" w:rsidRDefault="001F3378" w:rsidP="001F3378">
      <w:pPr>
        <w:pStyle w:val="ListParagraph"/>
        <w:numPr>
          <w:ilvl w:val="0"/>
          <w:numId w:val="12"/>
        </w:numPr>
        <w:spacing w:before="120" w:after="120" w:line="360" w:lineRule="auto"/>
        <w:jc w:val="both"/>
      </w:pPr>
      <w:r>
        <w:t>The draft Bergrivier Economic Recovery Plan is first submitted to the Economic Portfolio Committee on 5 August 2020 to workshop the draf</w:t>
      </w:r>
      <w:r w:rsidR="009052BF">
        <w:t>t</w:t>
      </w:r>
      <w:r>
        <w:t xml:space="preserve"> plan;</w:t>
      </w:r>
    </w:p>
    <w:p w:rsidR="001F3378" w:rsidRDefault="001F3378" w:rsidP="001F3378">
      <w:pPr>
        <w:pStyle w:val="ListParagraph"/>
        <w:numPr>
          <w:ilvl w:val="0"/>
          <w:numId w:val="12"/>
        </w:numPr>
        <w:spacing w:before="120" w:after="120" w:line="360" w:lineRule="auto"/>
        <w:jc w:val="both"/>
      </w:pPr>
      <w:r>
        <w:t>The final draft will be submitted to the Executive Mayoral Committee for approval</w:t>
      </w:r>
      <w:r w:rsidR="00233B7D">
        <w:t xml:space="preserve"> via inputs from the </w:t>
      </w:r>
      <w:proofErr w:type="spellStart"/>
      <w:r w:rsidR="00233B7D">
        <w:t>Directors’s</w:t>
      </w:r>
      <w:proofErr w:type="spellEnd"/>
      <w:r w:rsidR="00233B7D">
        <w:t xml:space="preserve"> meeting</w:t>
      </w:r>
      <w:r>
        <w:t>.</w:t>
      </w:r>
    </w:p>
    <w:p w:rsidR="00B01FE1" w:rsidRDefault="008903D3" w:rsidP="008903D3">
      <w:pPr>
        <w:pStyle w:val="Heading1"/>
      </w:pPr>
      <w:bookmarkStart w:id="2" w:name="_Toc46991974"/>
      <w:r>
        <w:t xml:space="preserve">3. </w:t>
      </w:r>
      <w:r w:rsidR="001F3378">
        <w:t>SITUATIONAL ANALYSIS: IMPACT OF COVID-19 ON THE ECONOMY</w:t>
      </w:r>
      <w:bookmarkEnd w:id="2"/>
    </w:p>
    <w:p w:rsidR="001F3378" w:rsidRDefault="001F3378" w:rsidP="008903D3">
      <w:pPr>
        <w:pStyle w:val="Heading2"/>
      </w:pPr>
      <w:bookmarkStart w:id="3" w:name="_Toc46991975"/>
      <w:r>
        <w:t>3.1</w:t>
      </w:r>
      <w:r>
        <w:tab/>
        <w:t>Western Cape Government: Model developed to measure impact of Covid-19</w:t>
      </w:r>
      <w:bookmarkEnd w:id="3"/>
    </w:p>
    <w:p w:rsidR="001F3378" w:rsidRDefault="001F3378" w:rsidP="001F3378">
      <w:pPr>
        <w:spacing w:before="120" w:after="120" w:line="360" w:lineRule="auto"/>
        <w:ind w:left="357"/>
        <w:jc w:val="both"/>
      </w:pPr>
      <w:r>
        <w:t>The Department of Economic Development and Tourism developed a model to measure the impact of Covid-19 on the economies of the various municipal areas in the Western Cape.  Various engagements took place with a number of stakeholders from various industries.  The sector descriptive baseline included sectoral GVA</w:t>
      </w:r>
      <w:r w:rsidR="009052BF">
        <w:t xml:space="preserve"> (Gross Value Added – measure of the value of goods and services produced in an area, industry or sector of an economy)</w:t>
      </w:r>
      <w:r>
        <w:t xml:space="preserve">, employment, labour remuneration per sector, supply chains, trade </w:t>
      </w:r>
      <w:r>
        <w:lastRenderedPageBreak/>
        <w:t xml:space="preserve">exposure and domestic macro exposure.  It needs to be mentioned that the draft provincial plan is not finalised yet and may only be available in November 2020.  It remains however, important to align municipal economic recovery plans with the provincial recovery </w:t>
      </w:r>
      <w:r w:rsidR="00233B7D">
        <w:t xml:space="preserve">and district recovery </w:t>
      </w:r>
      <w:r>
        <w:t>plan, even if it is only on a framework level.</w:t>
      </w:r>
    </w:p>
    <w:p w:rsidR="001F3378" w:rsidRDefault="001F3378" w:rsidP="00493D94">
      <w:pPr>
        <w:spacing w:before="120" w:after="120" w:line="360" w:lineRule="auto"/>
        <w:ind w:left="357"/>
        <w:jc w:val="both"/>
      </w:pPr>
      <w:r>
        <w:t>Three scenarios have been developed per sector, namely mild, medium and severe impact.</w:t>
      </w:r>
      <w:r w:rsidR="00493D94">
        <w:t xml:space="preserve">  The </w:t>
      </w:r>
      <w:r w:rsidR="009052BF">
        <w:t>a</w:t>
      </w:r>
      <w:r>
        <w:t>ssumptions for the three scenarios can be portrayed as follows:</w:t>
      </w:r>
    </w:p>
    <w:tbl>
      <w:tblPr>
        <w:tblW w:w="5000" w:type="pct"/>
        <w:tblLook w:val="04A0" w:firstRow="1" w:lastRow="0" w:firstColumn="1" w:lastColumn="0" w:noHBand="0" w:noVBand="1"/>
      </w:tblPr>
      <w:tblGrid>
        <w:gridCol w:w="1719"/>
        <w:gridCol w:w="2355"/>
        <w:gridCol w:w="2543"/>
        <w:gridCol w:w="3125"/>
      </w:tblGrid>
      <w:tr w:rsidR="009703B1" w:rsidRPr="001711DF" w:rsidTr="009703B1">
        <w:trPr>
          <w:trHeight w:val="300"/>
        </w:trPr>
        <w:tc>
          <w:tcPr>
            <w:tcW w:w="88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 </w:t>
            </w:r>
          </w:p>
        </w:tc>
        <w:tc>
          <w:tcPr>
            <w:tcW w:w="4118" w:type="pct"/>
            <w:gridSpan w:val="3"/>
            <w:tcBorders>
              <w:top w:val="single" w:sz="4" w:space="0" w:color="auto"/>
              <w:left w:val="nil"/>
              <w:bottom w:val="single" w:sz="4" w:space="0" w:color="auto"/>
              <w:right w:val="single" w:sz="4" w:space="0" w:color="000000"/>
            </w:tcBorders>
            <w:shd w:val="clear" w:color="000000" w:fill="D9D9D9"/>
            <w:noWrap/>
            <w:vAlign w:val="bottom"/>
            <w:hideMark/>
          </w:tcPr>
          <w:p w:rsidR="009703B1" w:rsidRPr="001711DF" w:rsidRDefault="009703B1" w:rsidP="009703B1">
            <w:pPr>
              <w:spacing w:before="60" w:after="60" w:line="240" w:lineRule="auto"/>
              <w:jc w:val="center"/>
              <w:rPr>
                <w:rFonts w:ascii="Calibri" w:eastAsia="Times New Roman" w:hAnsi="Calibri" w:cs="Calibri"/>
                <w:b/>
                <w:color w:val="000000"/>
                <w:sz w:val="20"/>
                <w:szCs w:val="20"/>
                <w:lang w:eastAsia="en-ZA"/>
              </w:rPr>
            </w:pPr>
            <w:r w:rsidRPr="001711DF">
              <w:rPr>
                <w:rFonts w:ascii="Calibri" w:eastAsia="Times New Roman" w:hAnsi="Calibri" w:cs="Calibri"/>
                <w:b/>
                <w:color w:val="000000"/>
                <w:sz w:val="20"/>
                <w:szCs w:val="20"/>
                <w:lang w:eastAsia="en-ZA"/>
              </w:rPr>
              <w:t>SCENARIOS</w:t>
            </w:r>
          </w:p>
        </w:tc>
      </w:tr>
      <w:tr w:rsidR="009703B1" w:rsidRPr="001711DF" w:rsidTr="001711DF">
        <w:trPr>
          <w:trHeight w:val="397"/>
        </w:trPr>
        <w:tc>
          <w:tcPr>
            <w:tcW w:w="882" w:type="pct"/>
            <w:vMerge/>
            <w:tcBorders>
              <w:top w:val="single" w:sz="4" w:space="0" w:color="auto"/>
              <w:left w:val="single" w:sz="4" w:space="0" w:color="auto"/>
              <w:bottom w:val="single" w:sz="4" w:space="0" w:color="000000"/>
              <w:right w:val="single" w:sz="4" w:space="0" w:color="auto"/>
            </w:tcBorders>
            <w:vAlign w:val="center"/>
            <w:hideMark/>
          </w:tcPr>
          <w:p w:rsidR="009703B1" w:rsidRPr="001711DF" w:rsidRDefault="009703B1" w:rsidP="009703B1">
            <w:pPr>
              <w:spacing w:before="60" w:after="60" w:line="240" w:lineRule="auto"/>
              <w:rPr>
                <w:rFonts w:ascii="Calibri" w:eastAsia="Times New Roman" w:hAnsi="Calibri" w:cs="Calibri"/>
                <w:color w:val="000000"/>
                <w:sz w:val="20"/>
                <w:szCs w:val="20"/>
                <w:lang w:eastAsia="en-ZA"/>
              </w:rPr>
            </w:pPr>
          </w:p>
        </w:tc>
        <w:tc>
          <w:tcPr>
            <w:tcW w:w="1209" w:type="pct"/>
            <w:tcBorders>
              <w:top w:val="nil"/>
              <w:left w:val="nil"/>
              <w:bottom w:val="single" w:sz="4" w:space="0" w:color="auto"/>
              <w:right w:val="nil"/>
            </w:tcBorders>
            <w:shd w:val="clear" w:color="000000" w:fill="9BC2E6"/>
            <w:noWrap/>
            <w:vAlign w:val="center"/>
            <w:hideMark/>
          </w:tcPr>
          <w:p w:rsidR="009703B1" w:rsidRPr="001711DF" w:rsidRDefault="009703B1" w:rsidP="009703B1">
            <w:pPr>
              <w:spacing w:before="60" w:after="60" w:line="240" w:lineRule="auto"/>
              <w:jc w:val="center"/>
              <w:rPr>
                <w:rFonts w:ascii="Calibri" w:eastAsia="Times New Roman" w:hAnsi="Calibri" w:cs="Calibri"/>
                <w:b/>
                <w:color w:val="000000"/>
                <w:sz w:val="20"/>
                <w:szCs w:val="20"/>
                <w:lang w:eastAsia="en-ZA"/>
              </w:rPr>
            </w:pPr>
            <w:r w:rsidRPr="001711DF">
              <w:rPr>
                <w:rFonts w:ascii="Calibri" w:eastAsia="Times New Roman" w:hAnsi="Calibri" w:cs="Calibri"/>
                <w:b/>
                <w:color w:val="000000"/>
                <w:sz w:val="20"/>
                <w:szCs w:val="20"/>
                <w:lang w:eastAsia="en-ZA"/>
              </w:rPr>
              <w:t>MILD</w:t>
            </w:r>
          </w:p>
        </w:tc>
        <w:tc>
          <w:tcPr>
            <w:tcW w:w="1305" w:type="pct"/>
            <w:tcBorders>
              <w:top w:val="nil"/>
              <w:left w:val="nil"/>
              <w:bottom w:val="single" w:sz="4" w:space="0" w:color="auto"/>
              <w:right w:val="nil"/>
            </w:tcBorders>
            <w:shd w:val="clear" w:color="000000" w:fill="FFC000"/>
            <w:noWrap/>
            <w:vAlign w:val="center"/>
            <w:hideMark/>
          </w:tcPr>
          <w:p w:rsidR="009703B1" w:rsidRPr="001711DF" w:rsidRDefault="009703B1" w:rsidP="009703B1">
            <w:pPr>
              <w:spacing w:before="60" w:after="60" w:line="240" w:lineRule="auto"/>
              <w:jc w:val="center"/>
              <w:rPr>
                <w:rFonts w:ascii="Calibri" w:eastAsia="Times New Roman" w:hAnsi="Calibri" w:cs="Calibri"/>
                <w:b/>
                <w:color w:val="000000"/>
                <w:sz w:val="20"/>
                <w:szCs w:val="20"/>
                <w:lang w:eastAsia="en-ZA"/>
              </w:rPr>
            </w:pPr>
            <w:r w:rsidRPr="001711DF">
              <w:rPr>
                <w:rFonts w:ascii="Calibri" w:eastAsia="Times New Roman" w:hAnsi="Calibri" w:cs="Calibri"/>
                <w:b/>
                <w:color w:val="000000"/>
                <w:sz w:val="20"/>
                <w:szCs w:val="20"/>
                <w:lang w:eastAsia="en-ZA"/>
              </w:rPr>
              <w:t>MEDIUM</w:t>
            </w:r>
          </w:p>
        </w:tc>
        <w:tc>
          <w:tcPr>
            <w:tcW w:w="1604" w:type="pct"/>
            <w:tcBorders>
              <w:top w:val="nil"/>
              <w:left w:val="nil"/>
              <w:bottom w:val="single" w:sz="4" w:space="0" w:color="auto"/>
              <w:right w:val="single" w:sz="4" w:space="0" w:color="auto"/>
            </w:tcBorders>
            <w:shd w:val="clear" w:color="000000" w:fill="FF0000"/>
            <w:noWrap/>
            <w:vAlign w:val="center"/>
            <w:hideMark/>
          </w:tcPr>
          <w:p w:rsidR="009703B1" w:rsidRPr="001711DF" w:rsidRDefault="009703B1" w:rsidP="009703B1">
            <w:pPr>
              <w:spacing w:before="60" w:after="60" w:line="240" w:lineRule="auto"/>
              <w:jc w:val="center"/>
              <w:rPr>
                <w:rFonts w:ascii="Calibri" w:eastAsia="Times New Roman" w:hAnsi="Calibri" w:cs="Calibri"/>
                <w:b/>
                <w:color w:val="000000"/>
                <w:sz w:val="20"/>
                <w:szCs w:val="20"/>
                <w:lang w:eastAsia="en-ZA"/>
              </w:rPr>
            </w:pPr>
            <w:r w:rsidRPr="001711DF">
              <w:rPr>
                <w:rFonts w:ascii="Calibri" w:eastAsia="Times New Roman" w:hAnsi="Calibri" w:cs="Calibri"/>
                <w:b/>
                <w:color w:val="000000"/>
                <w:sz w:val="20"/>
                <w:szCs w:val="20"/>
                <w:lang w:eastAsia="en-ZA"/>
              </w:rPr>
              <w:t>SEVERE</w:t>
            </w:r>
          </w:p>
        </w:tc>
      </w:tr>
      <w:tr w:rsidR="009703B1" w:rsidRPr="001711DF" w:rsidTr="001711DF">
        <w:trPr>
          <w:trHeight w:val="454"/>
        </w:trPr>
        <w:tc>
          <w:tcPr>
            <w:tcW w:w="882" w:type="pct"/>
            <w:tcBorders>
              <w:top w:val="nil"/>
              <w:left w:val="single" w:sz="4" w:space="0" w:color="auto"/>
              <w:bottom w:val="single" w:sz="4" w:space="0" w:color="auto"/>
              <w:right w:val="single" w:sz="4" w:space="0" w:color="auto"/>
            </w:tcBorders>
            <w:shd w:val="clear" w:color="000000" w:fill="BFBFBF"/>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 xml:space="preserve">Shutdown Length </w:t>
            </w:r>
          </w:p>
        </w:tc>
        <w:tc>
          <w:tcPr>
            <w:tcW w:w="1209"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5 weeks, rapid opening up</w:t>
            </w:r>
          </w:p>
        </w:tc>
        <w:tc>
          <w:tcPr>
            <w:tcW w:w="1305"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5 weeks, gradual opening up</w:t>
            </w:r>
          </w:p>
        </w:tc>
        <w:tc>
          <w:tcPr>
            <w:tcW w:w="1604"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5 weeks and with a return to level 4</w:t>
            </w:r>
          </w:p>
        </w:tc>
      </w:tr>
      <w:tr w:rsidR="009703B1" w:rsidRPr="001711DF" w:rsidTr="009703B1">
        <w:trPr>
          <w:trHeight w:val="1800"/>
        </w:trPr>
        <w:tc>
          <w:tcPr>
            <w:tcW w:w="882" w:type="pct"/>
            <w:tcBorders>
              <w:top w:val="nil"/>
              <w:left w:val="single" w:sz="4" w:space="0" w:color="auto"/>
              <w:bottom w:val="single" w:sz="4" w:space="0" w:color="auto"/>
              <w:right w:val="single" w:sz="4" w:space="0" w:color="auto"/>
            </w:tcBorders>
            <w:shd w:val="clear" w:color="000000" w:fill="BFBFBF"/>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 xml:space="preserve">Level of Lockdown </w:t>
            </w:r>
          </w:p>
        </w:tc>
        <w:tc>
          <w:tcPr>
            <w:tcW w:w="1209" w:type="pct"/>
            <w:tcBorders>
              <w:top w:val="nil"/>
              <w:left w:val="nil"/>
              <w:bottom w:val="single" w:sz="4" w:space="0" w:color="auto"/>
              <w:right w:val="single" w:sz="4" w:space="0" w:color="auto"/>
            </w:tcBorders>
            <w:shd w:val="clear" w:color="auto" w:fill="auto"/>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0 - Jan to March</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5 – April</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4 – May</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 xml:space="preserve"> Level 3 – June</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2 – July</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1 - Aug to Dec</w:t>
            </w:r>
          </w:p>
        </w:tc>
        <w:tc>
          <w:tcPr>
            <w:tcW w:w="1305" w:type="pct"/>
            <w:tcBorders>
              <w:top w:val="nil"/>
              <w:left w:val="nil"/>
              <w:bottom w:val="single" w:sz="4" w:space="0" w:color="auto"/>
              <w:right w:val="single" w:sz="4" w:space="0" w:color="auto"/>
            </w:tcBorders>
            <w:shd w:val="clear" w:color="auto" w:fill="auto"/>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0 - Jan to March</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5 – April</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4 – May</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3 – June</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2 – Aug</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1 - Nov</w:t>
            </w:r>
          </w:p>
        </w:tc>
        <w:tc>
          <w:tcPr>
            <w:tcW w:w="1604" w:type="pct"/>
            <w:tcBorders>
              <w:top w:val="nil"/>
              <w:left w:val="nil"/>
              <w:bottom w:val="single" w:sz="4" w:space="0" w:color="auto"/>
              <w:right w:val="single" w:sz="4" w:space="0" w:color="auto"/>
            </w:tcBorders>
            <w:shd w:val="clear" w:color="auto" w:fill="auto"/>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0 - Jan to March</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5 – April</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4 – May</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3 – June</w:t>
            </w:r>
          </w:p>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Level 4 - Sept to Oct (second wave)</w:t>
            </w:r>
          </w:p>
        </w:tc>
      </w:tr>
      <w:tr w:rsidR="009703B1" w:rsidRPr="001711DF" w:rsidTr="001711DF">
        <w:trPr>
          <w:trHeight w:val="624"/>
        </w:trPr>
        <w:tc>
          <w:tcPr>
            <w:tcW w:w="882" w:type="pct"/>
            <w:tcBorders>
              <w:top w:val="nil"/>
              <w:left w:val="single" w:sz="4" w:space="0" w:color="auto"/>
              <w:bottom w:val="single" w:sz="4" w:space="0" w:color="auto"/>
              <w:right w:val="single" w:sz="4" w:space="0" w:color="auto"/>
            </w:tcBorders>
            <w:shd w:val="clear" w:color="000000" w:fill="BFBFBF"/>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Severity of infection rate</w:t>
            </w:r>
          </w:p>
        </w:tc>
        <w:tc>
          <w:tcPr>
            <w:tcW w:w="1209" w:type="pct"/>
            <w:tcBorders>
              <w:top w:val="nil"/>
              <w:left w:val="nil"/>
              <w:bottom w:val="single" w:sz="4" w:space="0" w:color="auto"/>
              <w:right w:val="single" w:sz="4" w:space="0" w:color="auto"/>
            </w:tcBorders>
            <w:shd w:val="clear" w:color="auto" w:fill="auto"/>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Peaking in end of July/Aug, one wave</w:t>
            </w:r>
          </w:p>
        </w:tc>
        <w:tc>
          <w:tcPr>
            <w:tcW w:w="1305" w:type="pct"/>
            <w:tcBorders>
              <w:top w:val="nil"/>
              <w:left w:val="nil"/>
              <w:bottom w:val="single" w:sz="4" w:space="0" w:color="auto"/>
              <w:right w:val="single" w:sz="4" w:space="0" w:color="auto"/>
            </w:tcBorders>
            <w:shd w:val="clear" w:color="auto" w:fill="auto"/>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Peaking in end of July/Aug, one wave</w:t>
            </w:r>
          </w:p>
        </w:tc>
        <w:tc>
          <w:tcPr>
            <w:tcW w:w="1604" w:type="pct"/>
            <w:tcBorders>
              <w:top w:val="nil"/>
              <w:left w:val="nil"/>
              <w:bottom w:val="single" w:sz="4" w:space="0" w:color="auto"/>
              <w:right w:val="single" w:sz="4" w:space="0" w:color="auto"/>
            </w:tcBorders>
            <w:shd w:val="clear" w:color="auto" w:fill="auto"/>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Peaking in end of July/Aug, second wave of infection Sept/Oct</w:t>
            </w:r>
          </w:p>
        </w:tc>
      </w:tr>
      <w:tr w:rsidR="009703B1" w:rsidRPr="001711DF" w:rsidTr="001711DF">
        <w:trPr>
          <w:trHeight w:val="397"/>
        </w:trPr>
        <w:tc>
          <w:tcPr>
            <w:tcW w:w="882" w:type="pct"/>
            <w:tcBorders>
              <w:top w:val="nil"/>
              <w:left w:val="single" w:sz="4" w:space="0" w:color="auto"/>
              <w:bottom w:val="single" w:sz="4" w:space="0" w:color="auto"/>
              <w:right w:val="single" w:sz="4" w:space="0" w:color="auto"/>
            </w:tcBorders>
            <w:shd w:val="clear" w:color="000000" w:fill="BFBFBF"/>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 xml:space="preserve">Bounce Back </w:t>
            </w:r>
          </w:p>
        </w:tc>
        <w:tc>
          <w:tcPr>
            <w:tcW w:w="1209"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Rapid Recovery</w:t>
            </w:r>
          </w:p>
        </w:tc>
        <w:tc>
          <w:tcPr>
            <w:tcW w:w="1305"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Medium Recovery</w:t>
            </w:r>
          </w:p>
        </w:tc>
        <w:tc>
          <w:tcPr>
            <w:tcW w:w="1604"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Slow Recovery</w:t>
            </w:r>
          </w:p>
        </w:tc>
      </w:tr>
      <w:tr w:rsidR="009703B1" w:rsidRPr="001711DF" w:rsidTr="001711DF">
        <w:trPr>
          <w:trHeight w:val="454"/>
        </w:trPr>
        <w:tc>
          <w:tcPr>
            <w:tcW w:w="882" w:type="pct"/>
            <w:tcBorders>
              <w:top w:val="nil"/>
              <w:left w:val="single" w:sz="4" w:space="0" w:color="auto"/>
              <w:bottom w:val="single" w:sz="4" w:space="0" w:color="auto"/>
              <w:right w:val="single" w:sz="4" w:space="0" w:color="auto"/>
            </w:tcBorders>
            <w:shd w:val="clear" w:color="000000" w:fill="BFBFBF"/>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Shape of Recovery</w:t>
            </w:r>
          </w:p>
        </w:tc>
        <w:tc>
          <w:tcPr>
            <w:tcW w:w="1209"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V -shape curve</w:t>
            </w:r>
          </w:p>
        </w:tc>
        <w:tc>
          <w:tcPr>
            <w:tcW w:w="1305"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U - shape curve</w:t>
            </w:r>
          </w:p>
        </w:tc>
        <w:tc>
          <w:tcPr>
            <w:tcW w:w="1604" w:type="pct"/>
            <w:tcBorders>
              <w:top w:val="nil"/>
              <w:left w:val="nil"/>
              <w:bottom w:val="single" w:sz="4" w:space="0" w:color="auto"/>
              <w:right w:val="single" w:sz="4" w:space="0" w:color="auto"/>
            </w:tcBorders>
            <w:shd w:val="clear" w:color="auto" w:fill="auto"/>
            <w:noWrap/>
            <w:vAlign w:val="center"/>
            <w:hideMark/>
          </w:tcPr>
          <w:p w:rsidR="009703B1" w:rsidRPr="001711DF" w:rsidRDefault="009703B1" w:rsidP="009703B1">
            <w:pPr>
              <w:spacing w:before="60" w:after="60" w:line="240" w:lineRule="auto"/>
              <w:jc w:val="center"/>
              <w:rPr>
                <w:rFonts w:ascii="Calibri" w:eastAsia="Times New Roman" w:hAnsi="Calibri" w:cs="Calibri"/>
                <w:color w:val="000000"/>
                <w:sz w:val="20"/>
                <w:szCs w:val="20"/>
                <w:lang w:eastAsia="en-ZA"/>
              </w:rPr>
            </w:pPr>
            <w:r w:rsidRPr="001711DF">
              <w:rPr>
                <w:rFonts w:ascii="Calibri" w:eastAsia="Times New Roman" w:hAnsi="Calibri" w:cs="Calibri"/>
                <w:color w:val="000000"/>
                <w:sz w:val="20"/>
                <w:szCs w:val="20"/>
                <w:lang w:eastAsia="en-ZA"/>
              </w:rPr>
              <w:t>L - shape curve</w:t>
            </w:r>
          </w:p>
        </w:tc>
      </w:tr>
    </w:tbl>
    <w:p w:rsidR="00036912" w:rsidRDefault="00233B7D" w:rsidP="00036912">
      <w:pPr>
        <w:spacing w:before="120" w:after="120" w:line="360" w:lineRule="auto"/>
        <w:ind w:left="357"/>
        <w:jc w:val="both"/>
      </w:pPr>
      <w:r w:rsidRPr="00C53D46">
        <w:rPr>
          <w:noProof/>
          <w:lang w:eastAsia="en-ZA"/>
        </w:rPr>
        <w:drawing>
          <wp:anchor distT="0" distB="0" distL="114300" distR="114300" simplePos="0" relativeHeight="251664384" behindDoc="0" locked="0" layoutInCell="1" allowOverlap="1" wp14:anchorId="789DC974" wp14:editId="584669F7">
            <wp:simplePos x="0" y="0"/>
            <wp:positionH relativeFrom="margin">
              <wp:align>right</wp:align>
            </wp:positionH>
            <wp:positionV relativeFrom="paragraph">
              <wp:posOffset>941616</wp:posOffset>
            </wp:positionV>
            <wp:extent cx="2980690" cy="3393440"/>
            <wp:effectExtent l="19050" t="19050" r="10160" b="1651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8312" t="7273" r="8292" b="14721"/>
                    <a:stretch/>
                  </pic:blipFill>
                  <pic:spPr bwMode="auto">
                    <a:xfrm>
                      <a:off x="0" y="0"/>
                      <a:ext cx="2980690" cy="339344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03B1" w:rsidRPr="00C53D46">
        <w:rPr>
          <w:noProof/>
          <w:lang w:eastAsia="en-ZA"/>
        </w:rPr>
        <w:drawing>
          <wp:anchor distT="0" distB="0" distL="114300" distR="114300" simplePos="0" relativeHeight="251663360" behindDoc="0" locked="0" layoutInCell="1" allowOverlap="1" wp14:anchorId="7B5059BA" wp14:editId="548F4029">
            <wp:simplePos x="0" y="0"/>
            <wp:positionH relativeFrom="column">
              <wp:posOffset>218630</wp:posOffset>
            </wp:positionH>
            <wp:positionV relativeFrom="paragraph">
              <wp:posOffset>941656</wp:posOffset>
            </wp:positionV>
            <wp:extent cx="2897505" cy="3397571"/>
            <wp:effectExtent l="19050" t="19050" r="17145" b="1270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8573" t="7965" r="8548" b="12713"/>
                    <a:stretch/>
                  </pic:blipFill>
                  <pic:spPr bwMode="auto">
                    <a:xfrm>
                      <a:off x="0" y="0"/>
                      <a:ext cx="2897505" cy="3397571"/>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6912">
        <w:t>Significant research was conducted on the impact of the lockdown since March 2020 during the various levels of lockdown.  For the purposes of this plan, only a brief summary of the impact during Level 4 and Level 3 for the Western Cape is provided and can be portrayed as follows:</w:t>
      </w:r>
    </w:p>
    <w:p w:rsidR="001F3378" w:rsidRDefault="00493D94" w:rsidP="00493D94">
      <w:pPr>
        <w:spacing w:before="120" w:after="120" w:line="360" w:lineRule="auto"/>
        <w:ind w:left="357"/>
        <w:jc w:val="both"/>
      </w:pPr>
      <w:r>
        <w:lastRenderedPageBreak/>
        <w:t>For more detail on the impact of the lockdown during Level 3 per sector, the following table</w:t>
      </w:r>
      <w:r w:rsidR="006979DA">
        <w:t>s</w:t>
      </w:r>
      <w:r>
        <w:t xml:space="preserve"> measure</w:t>
      </w:r>
      <w:r w:rsidR="006979DA">
        <w:t>d firstly</w:t>
      </w:r>
      <w:r>
        <w:t xml:space="preserve"> direct and indirect job losses per sector fo</w:t>
      </w:r>
      <w:r w:rsidR="006979DA">
        <w:t>r the whole of the Western Cape and secondly a breakdown as measured by GVA impact per sector:</w:t>
      </w:r>
    </w:p>
    <w:tbl>
      <w:tblPr>
        <w:tblW w:w="4857" w:type="pct"/>
        <w:tblInd w:w="279" w:type="dxa"/>
        <w:tblLook w:val="04A0" w:firstRow="1" w:lastRow="0" w:firstColumn="1" w:lastColumn="0" w:noHBand="0" w:noVBand="1"/>
      </w:tblPr>
      <w:tblGrid>
        <w:gridCol w:w="2244"/>
        <w:gridCol w:w="1219"/>
        <w:gridCol w:w="1266"/>
        <w:gridCol w:w="1113"/>
        <w:gridCol w:w="1113"/>
        <w:gridCol w:w="1253"/>
        <w:gridCol w:w="1255"/>
      </w:tblGrid>
      <w:tr w:rsidR="009703B1" w:rsidRPr="009703B1" w:rsidTr="001711DF">
        <w:trPr>
          <w:trHeight w:val="244"/>
        </w:trPr>
        <w:tc>
          <w:tcPr>
            <w:tcW w:w="1186" w:type="pct"/>
            <w:vMerge w:val="restart"/>
            <w:tcBorders>
              <w:top w:val="single" w:sz="4" w:space="0" w:color="auto"/>
              <w:left w:val="single" w:sz="4" w:space="0" w:color="auto"/>
              <w:bottom w:val="single" w:sz="4" w:space="0" w:color="000000"/>
              <w:right w:val="single" w:sz="4" w:space="0" w:color="auto"/>
            </w:tcBorders>
            <w:shd w:val="clear" w:color="000000" w:fill="A6A6A6"/>
            <w:noWrap/>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p>
        </w:tc>
        <w:tc>
          <w:tcPr>
            <w:tcW w:w="644"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r w:rsidRPr="009703B1">
              <w:rPr>
                <w:rFonts w:eastAsia="Times New Roman" w:cs="Calibri"/>
                <w:color w:val="000000"/>
                <w:sz w:val="20"/>
                <w:szCs w:val="20"/>
                <w:lang w:eastAsia="en-ZA"/>
              </w:rPr>
              <w:t>Total GVA in 2019</w:t>
            </w:r>
          </w:p>
        </w:tc>
        <w:tc>
          <w:tcPr>
            <w:tcW w:w="669" w:type="pct"/>
            <w:vMerge w:val="restar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r w:rsidRPr="009703B1">
              <w:rPr>
                <w:rFonts w:eastAsia="Times New Roman" w:cs="Calibri"/>
                <w:color w:val="000000"/>
                <w:sz w:val="20"/>
                <w:szCs w:val="20"/>
                <w:lang w:eastAsia="en-ZA"/>
              </w:rPr>
              <w:t>Net GVA loss</w:t>
            </w:r>
          </w:p>
        </w:tc>
        <w:tc>
          <w:tcPr>
            <w:tcW w:w="588"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r w:rsidRPr="009703B1">
              <w:rPr>
                <w:rFonts w:eastAsia="Times New Roman" w:cs="Calibri"/>
                <w:color w:val="000000"/>
                <w:sz w:val="20"/>
                <w:szCs w:val="20"/>
                <w:lang w:eastAsia="en-ZA"/>
              </w:rPr>
              <w:t>Net loss as a % of sub sector</w:t>
            </w:r>
          </w:p>
        </w:tc>
        <w:tc>
          <w:tcPr>
            <w:tcW w:w="588"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r w:rsidRPr="009703B1">
              <w:rPr>
                <w:rFonts w:eastAsia="Times New Roman" w:cs="Calibri"/>
                <w:color w:val="000000"/>
                <w:sz w:val="20"/>
                <w:szCs w:val="20"/>
                <w:lang w:eastAsia="en-ZA"/>
              </w:rPr>
              <w:t>Total employed in 2019</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r w:rsidRPr="009703B1">
              <w:rPr>
                <w:rFonts w:eastAsia="Times New Roman" w:cs="Calibri"/>
                <w:color w:val="000000"/>
                <w:sz w:val="20"/>
                <w:szCs w:val="20"/>
                <w:lang w:eastAsia="en-ZA"/>
              </w:rPr>
              <w:t>Net Employment Losses</w:t>
            </w:r>
          </w:p>
        </w:tc>
        <w:tc>
          <w:tcPr>
            <w:tcW w:w="663"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9703B1" w:rsidRPr="009703B1" w:rsidRDefault="009703B1" w:rsidP="009703B1">
            <w:pPr>
              <w:spacing w:after="0" w:line="240" w:lineRule="auto"/>
              <w:jc w:val="center"/>
              <w:rPr>
                <w:rFonts w:eastAsia="Times New Roman" w:cs="Calibri"/>
                <w:color w:val="000000"/>
                <w:sz w:val="20"/>
                <w:szCs w:val="20"/>
                <w:lang w:eastAsia="en-ZA"/>
              </w:rPr>
            </w:pPr>
            <w:r w:rsidRPr="009703B1">
              <w:rPr>
                <w:rFonts w:eastAsia="Times New Roman" w:cs="Calibri"/>
                <w:color w:val="000000"/>
                <w:sz w:val="20"/>
                <w:szCs w:val="20"/>
                <w:lang w:eastAsia="en-ZA"/>
              </w:rPr>
              <w:t>Net employment loss % of subsector</w:t>
            </w:r>
          </w:p>
        </w:tc>
      </w:tr>
      <w:tr w:rsidR="009703B1" w:rsidRPr="009703B1" w:rsidTr="001711DF">
        <w:trPr>
          <w:trHeight w:val="300"/>
        </w:trPr>
        <w:tc>
          <w:tcPr>
            <w:tcW w:w="1186" w:type="pct"/>
            <w:vMerge/>
            <w:tcBorders>
              <w:top w:val="single" w:sz="4" w:space="0" w:color="auto"/>
              <w:left w:val="single" w:sz="4" w:space="0" w:color="auto"/>
              <w:bottom w:val="single" w:sz="4" w:space="0" w:color="000000"/>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r>
      <w:tr w:rsidR="009703B1" w:rsidRPr="009703B1" w:rsidTr="001711DF">
        <w:trPr>
          <w:trHeight w:val="300"/>
        </w:trPr>
        <w:tc>
          <w:tcPr>
            <w:tcW w:w="1186" w:type="pct"/>
            <w:vMerge/>
            <w:tcBorders>
              <w:top w:val="single" w:sz="4" w:space="0" w:color="auto"/>
              <w:left w:val="single" w:sz="4" w:space="0" w:color="auto"/>
              <w:bottom w:val="single" w:sz="4" w:space="0" w:color="000000"/>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r>
      <w:tr w:rsidR="009703B1" w:rsidRPr="009703B1" w:rsidTr="001711DF">
        <w:trPr>
          <w:trHeight w:val="300"/>
        </w:trPr>
        <w:tc>
          <w:tcPr>
            <w:tcW w:w="1186" w:type="pct"/>
            <w:vMerge/>
            <w:tcBorders>
              <w:top w:val="single" w:sz="4" w:space="0" w:color="auto"/>
              <w:left w:val="single" w:sz="4" w:space="0" w:color="auto"/>
              <w:bottom w:val="single" w:sz="4" w:space="0" w:color="000000"/>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703B1" w:rsidRPr="009703B1" w:rsidRDefault="009703B1" w:rsidP="009703B1">
            <w:pPr>
              <w:spacing w:after="0" w:line="240" w:lineRule="auto"/>
              <w:rPr>
                <w:rFonts w:eastAsia="Times New Roman" w:cs="Calibri"/>
                <w:color w:val="000000"/>
                <w:sz w:val="20"/>
                <w:szCs w:val="20"/>
                <w:lang w:eastAsia="en-ZA"/>
              </w:rPr>
            </w:pP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Tourism</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534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736</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283</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443</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59,76%</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174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982</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74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646</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42,66%</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Agriculture</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094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310</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335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973</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6,33%</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209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798</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10</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763</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5,13%</w:t>
            </w:r>
          </w:p>
        </w:tc>
      </w:tr>
      <w:tr w:rsidR="009703B1" w:rsidRPr="009703B1" w:rsidTr="001711DF">
        <w:trPr>
          <w:trHeight w:val="20"/>
        </w:trPr>
        <w:tc>
          <w:tcPr>
            <w:tcW w:w="1186" w:type="pct"/>
            <w:tcBorders>
              <w:top w:val="nil"/>
              <w:left w:val="single" w:sz="4" w:space="0" w:color="auto"/>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Mining</w:t>
            </w:r>
          </w:p>
        </w:tc>
        <w:tc>
          <w:tcPr>
            <w:tcW w:w="644" w:type="pct"/>
            <w:tcBorders>
              <w:top w:val="nil"/>
              <w:left w:val="single" w:sz="4" w:space="0" w:color="auto"/>
              <w:bottom w:val="single" w:sz="8"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743</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156</w:t>
            </w:r>
          </w:p>
        </w:tc>
        <w:tc>
          <w:tcPr>
            <w:tcW w:w="669"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154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562</w:t>
            </w:r>
          </w:p>
        </w:tc>
        <w:tc>
          <w:tcPr>
            <w:tcW w:w="588"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8,87%</w:t>
            </w:r>
          </w:p>
        </w:tc>
        <w:tc>
          <w:tcPr>
            <w:tcW w:w="588"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590</w:t>
            </w:r>
          </w:p>
        </w:tc>
        <w:tc>
          <w:tcPr>
            <w:tcW w:w="662"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75</w:t>
            </w:r>
          </w:p>
        </w:tc>
        <w:tc>
          <w:tcPr>
            <w:tcW w:w="663" w:type="pct"/>
            <w:tcBorders>
              <w:top w:val="nil"/>
              <w:left w:val="nil"/>
              <w:bottom w:val="single" w:sz="8"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1,64%</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Manufacturing</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959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965</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540</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570</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6,89%</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295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183</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565</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2,22%</w:t>
            </w:r>
          </w:p>
        </w:tc>
      </w:tr>
      <w:tr w:rsidR="009703B1" w:rsidRPr="009703B1" w:rsidTr="001711DF">
        <w:trPr>
          <w:trHeight w:val="20"/>
        </w:trPr>
        <w:tc>
          <w:tcPr>
            <w:tcW w:w="1186" w:type="pct"/>
            <w:tcBorders>
              <w:top w:val="nil"/>
              <w:left w:val="single" w:sz="4" w:space="0" w:color="auto"/>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Electricity</w:t>
            </w:r>
          </w:p>
        </w:tc>
        <w:tc>
          <w:tcPr>
            <w:tcW w:w="644" w:type="pct"/>
            <w:tcBorders>
              <w:top w:val="nil"/>
              <w:left w:val="single" w:sz="4" w:space="0" w:color="auto"/>
              <w:bottom w:val="single" w:sz="8"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704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233</w:t>
            </w:r>
          </w:p>
        </w:tc>
        <w:tc>
          <w:tcPr>
            <w:tcW w:w="669"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614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148</w:t>
            </w:r>
          </w:p>
        </w:tc>
        <w:tc>
          <w:tcPr>
            <w:tcW w:w="588"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3,47%</w:t>
            </w:r>
          </w:p>
        </w:tc>
        <w:tc>
          <w:tcPr>
            <w:tcW w:w="588"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8</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892</w:t>
            </w:r>
          </w:p>
        </w:tc>
        <w:tc>
          <w:tcPr>
            <w:tcW w:w="662"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92</w:t>
            </w:r>
          </w:p>
        </w:tc>
        <w:tc>
          <w:tcPr>
            <w:tcW w:w="663" w:type="pct"/>
            <w:tcBorders>
              <w:top w:val="nil"/>
              <w:left w:val="nil"/>
              <w:bottom w:val="single" w:sz="8"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1,03%</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Construction</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715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441</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499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025</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14,19%</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159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542</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450</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9,25%</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 xml:space="preserve">Trade </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102</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087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570</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029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504</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8,84%</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354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328</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794</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6,15%</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Transport (incl telecoms)</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59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716</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800</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845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122</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13,14%</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54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100</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028</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3,75%</w:t>
            </w:r>
          </w:p>
        </w:tc>
      </w:tr>
      <w:tr w:rsidR="009703B1" w:rsidRPr="009703B1" w:rsidTr="001711DF">
        <w:trPr>
          <w:trHeight w:val="20"/>
        </w:trPr>
        <w:tc>
          <w:tcPr>
            <w:tcW w:w="1186" w:type="pct"/>
            <w:tcBorders>
              <w:top w:val="nil"/>
              <w:left w:val="single" w:sz="4" w:space="0" w:color="auto"/>
              <w:bottom w:val="single" w:sz="8" w:space="0" w:color="auto"/>
              <w:right w:val="single" w:sz="4" w:space="0" w:color="auto"/>
            </w:tcBorders>
            <w:shd w:val="clear" w:color="000000" w:fill="A6A6A6"/>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Finance (finance, insurance, real estate and other services</w:t>
            </w:r>
          </w:p>
        </w:tc>
        <w:tc>
          <w:tcPr>
            <w:tcW w:w="644" w:type="pct"/>
            <w:tcBorders>
              <w:top w:val="nil"/>
              <w:left w:val="single" w:sz="4" w:space="0" w:color="auto"/>
              <w:bottom w:val="single" w:sz="8"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156</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953</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508</w:t>
            </w:r>
          </w:p>
        </w:tc>
        <w:tc>
          <w:tcPr>
            <w:tcW w:w="669"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384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327</w:t>
            </w:r>
          </w:p>
        </w:tc>
        <w:tc>
          <w:tcPr>
            <w:tcW w:w="588"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4,70%</w:t>
            </w:r>
          </w:p>
        </w:tc>
        <w:tc>
          <w:tcPr>
            <w:tcW w:w="588"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466</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741</w:t>
            </w:r>
          </w:p>
        </w:tc>
        <w:tc>
          <w:tcPr>
            <w:tcW w:w="662" w:type="pct"/>
            <w:tcBorders>
              <w:top w:val="nil"/>
              <w:left w:val="nil"/>
              <w:bottom w:val="single" w:sz="8"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670</w:t>
            </w:r>
          </w:p>
        </w:tc>
        <w:tc>
          <w:tcPr>
            <w:tcW w:w="663" w:type="pct"/>
            <w:tcBorders>
              <w:top w:val="nil"/>
              <w:left w:val="nil"/>
              <w:bottom w:val="single" w:sz="8"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0,57%</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Community Services (</w:t>
            </w:r>
            <w:r w:rsidR="001711DF">
              <w:rPr>
                <w:rFonts w:eastAsia="Times New Roman" w:cs="Calibri"/>
                <w:color w:val="000000"/>
                <w:sz w:val="20"/>
                <w:szCs w:val="20"/>
                <w:lang w:eastAsia="en-ZA"/>
              </w:rPr>
              <w:t xml:space="preserve">Public admin, defence, </w:t>
            </w:r>
            <w:proofErr w:type="spellStart"/>
            <w:r w:rsidR="001711DF">
              <w:rPr>
                <w:rFonts w:eastAsia="Times New Roman" w:cs="Calibri"/>
                <w:color w:val="000000"/>
                <w:sz w:val="20"/>
                <w:szCs w:val="20"/>
                <w:lang w:eastAsia="en-ZA"/>
              </w:rPr>
              <w:t>health,</w:t>
            </w:r>
            <w:r w:rsidRPr="009703B1">
              <w:rPr>
                <w:rFonts w:eastAsia="Times New Roman" w:cs="Calibri"/>
                <w:color w:val="000000"/>
                <w:sz w:val="20"/>
                <w:szCs w:val="20"/>
                <w:lang w:eastAsia="en-ZA"/>
              </w:rPr>
              <w:t>social</w:t>
            </w:r>
            <w:proofErr w:type="spellEnd"/>
            <w:r w:rsidRPr="009703B1">
              <w:rPr>
                <w:rFonts w:eastAsia="Times New Roman" w:cs="Calibri"/>
                <w:color w:val="000000"/>
                <w:sz w:val="20"/>
                <w:szCs w:val="20"/>
                <w:lang w:eastAsia="en-ZA"/>
              </w:rPr>
              <w:t xml:space="preserve"> work, other community services</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111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637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537</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197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565</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8,24%</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354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331</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114</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2,57%</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rPr>
                <w:rFonts w:eastAsia="Times New Roman" w:cs="Calibri"/>
                <w:color w:val="000000"/>
                <w:sz w:val="20"/>
                <w:szCs w:val="20"/>
                <w:lang w:eastAsia="en-ZA"/>
              </w:rPr>
            </w:pPr>
            <w:r w:rsidRPr="009703B1">
              <w:rPr>
                <w:rFonts w:eastAsia="Times New Roman" w:cs="Calibri"/>
                <w:color w:val="000000"/>
                <w:sz w:val="20"/>
                <w:szCs w:val="20"/>
                <w:lang w:eastAsia="en-ZA"/>
              </w:rPr>
              <w:t>Informal</w:t>
            </w:r>
          </w:p>
        </w:tc>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669"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588"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301</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543</w:t>
            </w:r>
          </w:p>
        </w:tc>
        <w:tc>
          <w:tcPr>
            <w:tcW w:w="662" w:type="pct"/>
            <w:tcBorders>
              <w:top w:val="nil"/>
              <w:left w:val="nil"/>
              <w:bottom w:val="single" w:sz="4" w:space="0" w:color="auto"/>
              <w:right w:val="single" w:sz="4" w:space="0" w:color="auto"/>
            </w:tcBorders>
            <w:shd w:val="clear" w:color="000000" w:fill="BDD7EE"/>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32</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522</w:t>
            </w:r>
          </w:p>
        </w:tc>
        <w:tc>
          <w:tcPr>
            <w:tcW w:w="663" w:type="pct"/>
            <w:tcBorders>
              <w:top w:val="nil"/>
              <w:left w:val="nil"/>
              <w:bottom w:val="single" w:sz="4" w:space="0" w:color="auto"/>
              <w:right w:val="single" w:sz="4" w:space="0" w:color="auto"/>
            </w:tcBorders>
            <w:shd w:val="clear" w:color="000000" w:fill="C65911"/>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10,79%</w:t>
            </w:r>
          </w:p>
        </w:tc>
      </w:tr>
      <w:tr w:rsidR="009703B1" w:rsidRPr="009703B1" w:rsidTr="001711DF">
        <w:trPr>
          <w:trHeight w:val="2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Total</w:t>
            </w:r>
          </w:p>
        </w:tc>
        <w:tc>
          <w:tcPr>
            <w:tcW w:w="644" w:type="pct"/>
            <w:tcBorders>
              <w:top w:val="nil"/>
              <w:left w:val="single" w:sz="4" w:space="0" w:color="auto"/>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613</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147</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256</w:t>
            </w:r>
          </w:p>
        </w:tc>
        <w:tc>
          <w:tcPr>
            <w:tcW w:w="669" w:type="pct"/>
            <w:tcBorders>
              <w:top w:val="nil"/>
              <w:left w:val="nil"/>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55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884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239</w:t>
            </w:r>
          </w:p>
        </w:tc>
        <w:tc>
          <w:tcPr>
            <w:tcW w:w="588" w:type="pct"/>
            <w:tcBorders>
              <w:top w:val="nil"/>
              <w:left w:val="nil"/>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588" w:type="pct"/>
            <w:tcBorders>
              <w:top w:val="nil"/>
              <w:left w:val="nil"/>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2</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384</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029</w:t>
            </w:r>
          </w:p>
        </w:tc>
        <w:tc>
          <w:tcPr>
            <w:tcW w:w="662" w:type="pct"/>
            <w:tcBorders>
              <w:top w:val="nil"/>
              <w:left w:val="nil"/>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175</w:t>
            </w:r>
            <w:r>
              <w:rPr>
                <w:rFonts w:eastAsia="Times New Roman" w:cs="Calibri"/>
                <w:color w:val="000000"/>
                <w:sz w:val="20"/>
                <w:szCs w:val="20"/>
                <w:lang w:eastAsia="en-ZA"/>
              </w:rPr>
              <w:t xml:space="preserve"> </w:t>
            </w:r>
            <w:r w:rsidRPr="009703B1">
              <w:rPr>
                <w:rFonts w:eastAsia="Times New Roman" w:cs="Calibri"/>
                <w:color w:val="000000"/>
                <w:sz w:val="20"/>
                <w:szCs w:val="20"/>
                <w:lang w:eastAsia="en-ZA"/>
              </w:rPr>
              <w:t>019</w:t>
            </w:r>
          </w:p>
        </w:tc>
        <w:tc>
          <w:tcPr>
            <w:tcW w:w="663" w:type="pct"/>
            <w:tcBorders>
              <w:top w:val="nil"/>
              <w:left w:val="nil"/>
              <w:bottom w:val="single" w:sz="8"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r>
      <w:tr w:rsidR="009703B1" w:rsidRPr="009703B1" w:rsidTr="001711DF">
        <w:trPr>
          <w:trHeight w:val="300"/>
        </w:trPr>
        <w:tc>
          <w:tcPr>
            <w:tcW w:w="1186"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644" w:type="pct"/>
            <w:tcBorders>
              <w:top w:val="nil"/>
              <w:left w:val="single" w:sz="4" w:space="0" w:color="auto"/>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669" w:type="pct"/>
            <w:tcBorders>
              <w:top w:val="nil"/>
              <w:left w:val="nil"/>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9,11%</w:t>
            </w:r>
          </w:p>
        </w:tc>
        <w:tc>
          <w:tcPr>
            <w:tcW w:w="588" w:type="pct"/>
            <w:tcBorders>
              <w:top w:val="nil"/>
              <w:left w:val="nil"/>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588" w:type="pct"/>
            <w:tcBorders>
              <w:top w:val="nil"/>
              <w:left w:val="nil"/>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 </w:t>
            </w:r>
          </w:p>
        </w:tc>
        <w:tc>
          <w:tcPr>
            <w:tcW w:w="662" w:type="pct"/>
            <w:tcBorders>
              <w:top w:val="nil"/>
              <w:left w:val="nil"/>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7,34%</w:t>
            </w:r>
          </w:p>
        </w:tc>
        <w:tc>
          <w:tcPr>
            <w:tcW w:w="663" w:type="pct"/>
            <w:tcBorders>
              <w:top w:val="nil"/>
              <w:left w:val="nil"/>
              <w:bottom w:val="single" w:sz="4" w:space="0" w:color="auto"/>
              <w:right w:val="single" w:sz="4" w:space="0" w:color="auto"/>
            </w:tcBorders>
            <w:shd w:val="clear" w:color="000000" w:fill="A6A6A6"/>
            <w:noWrap/>
            <w:vAlign w:val="center"/>
            <w:hideMark/>
          </w:tcPr>
          <w:p w:rsidR="009703B1" w:rsidRPr="009703B1" w:rsidRDefault="009703B1" w:rsidP="009703B1">
            <w:pPr>
              <w:spacing w:before="60" w:after="60" w:line="240" w:lineRule="auto"/>
              <w:jc w:val="right"/>
              <w:rPr>
                <w:rFonts w:eastAsia="Times New Roman" w:cs="Calibri"/>
                <w:color w:val="000000"/>
                <w:sz w:val="20"/>
                <w:szCs w:val="20"/>
                <w:lang w:eastAsia="en-ZA"/>
              </w:rPr>
            </w:pPr>
            <w:r w:rsidRPr="009703B1">
              <w:rPr>
                <w:rFonts w:eastAsia="Times New Roman" w:cs="Calibri"/>
                <w:color w:val="000000"/>
                <w:sz w:val="20"/>
                <w:szCs w:val="20"/>
                <w:lang w:eastAsia="en-ZA"/>
              </w:rPr>
              <w:t>-7,34%</w:t>
            </w:r>
          </w:p>
        </w:tc>
      </w:tr>
    </w:tbl>
    <w:p w:rsidR="001F3378" w:rsidRDefault="00D51EBB" w:rsidP="006C546F">
      <w:pPr>
        <w:spacing w:before="120" w:after="120" w:line="360" w:lineRule="auto"/>
        <w:jc w:val="both"/>
      </w:pPr>
      <w:r>
        <w:t>The study of DEDAT can also be summarised by the following stateme</w:t>
      </w:r>
      <w:r w:rsidR="009052BF">
        <w:t>n</w:t>
      </w:r>
      <w:r>
        <w:t>t</w:t>
      </w:r>
      <w:r w:rsidR="009052BF">
        <w:t>s contextualis</w:t>
      </w:r>
      <w:r>
        <w:t>ing the economic status in South Africa:</w:t>
      </w:r>
    </w:p>
    <w:p w:rsidR="00D51EBB" w:rsidRDefault="00D51EBB" w:rsidP="006C546F">
      <w:pPr>
        <w:pStyle w:val="ListParagraph"/>
        <w:numPr>
          <w:ilvl w:val="0"/>
          <w:numId w:val="15"/>
        </w:numPr>
        <w:spacing w:before="120" w:after="120" w:line="360" w:lineRule="auto"/>
        <w:ind w:left="720"/>
        <w:jc w:val="both"/>
      </w:pPr>
      <w:r>
        <w:t>GDP growth in SA and Western Cape has been in decline over the years;</w:t>
      </w:r>
    </w:p>
    <w:p w:rsidR="00D51EBB" w:rsidRDefault="00D51EBB" w:rsidP="006C546F">
      <w:pPr>
        <w:pStyle w:val="ListParagraph"/>
        <w:numPr>
          <w:ilvl w:val="0"/>
          <w:numId w:val="15"/>
        </w:numPr>
        <w:spacing w:before="120" w:after="120" w:line="360" w:lineRule="auto"/>
        <w:ind w:left="720"/>
        <w:jc w:val="both"/>
      </w:pPr>
      <w:r>
        <w:t>SA is an extremely poor performer particularly when compared to the middle income countries;</w:t>
      </w:r>
    </w:p>
    <w:p w:rsidR="00D51EBB" w:rsidRDefault="00D51EBB" w:rsidP="006C546F">
      <w:pPr>
        <w:pStyle w:val="ListParagraph"/>
        <w:numPr>
          <w:ilvl w:val="0"/>
          <w:numId w:val="15"/>
        </w:numPr>
        <w:spacing w:before="120" w:after="120" w:line="360" w:lineRule="auto"/>
        <w:ind w:left="720"/>
        <w:jc w:val="both"/>
      </w:pPr>
      <w:r>
        <w:t>GDP per capita in SA and Western Cape has been declining over the years and SA is an extremely poor performer when compared to BRICS;</w:t>
      </w:r>
    </w:p>
    <w:p w:rsidR="00D51EBB" w:rsidRDefault="00D51EBB" w:rsidP="006C546F">
      <w:pPr>
        <w:pStyle w:val="ListParagraph"/>
        <w:numPr>
          <w:ilvl w:val="0"/>
          <w:numId w:val="15"/>
        </w:numPr>
        <w:spacing w:before="120" w:after="120" w:line="360" w:lineRule="auto"/>
        <w:ind w:left="720"/>
        <w:jc w:val="both"/>
      </w:pPr>
      <w:r>
        <w:t>The unemployment rate has increased over years;</w:t>
      </w:r>
    </w:p>
    <w:p w:rsidR="00D51EBB" w:rsidRDefault="00D51EBB" w:rsidP="006C546F">
      <w:pPr>
        <w:pStyle w:val="ListParagraph"/>
        <w:numPr>
          <w:ilvl w:val="0"/>
          <w:numId w:val="15"/>
        </w:numPr>
        <w:spacing w:before="120" w:after="120" w:line="360" w:lineRule="auto"/>
        <w:ind w:left="720"/>
        <w:jc w:val="both"/>
      </w:pPr>
      <w:r>
        <w:t>There has been an increase of 551 278 poor people in the Western Cape between 2001 – 2017;</w:t>
      </w:r>
    </w:p>
    <w:p w:rsidR="00D51EBB" w:rsidRDefault="00D51EBB" w:rsidP="006C546F">
      <w:pPr>
        <w:pStyle w:val="ListParagraph"/>
        <w:numPr>
          <w:ilvl w:val="0"/>
          <w:numId w:val="15"/>
        </w:numPr>
        <w:spacing w:before="120" w:after="120" w:line="360" w:lineRule="auto"/>
        <w:ind w:left="720"/>
        <w:jc w:val="both"/>
      </w:pPr>
      <w:r>
        <w:t>The Gini Coefficient has worsened from 0.607 to 0.613 in the Western Cape between 2013 – 2017;</w:t>
      </w:r>
    </w:p>
    <w:p w:rsidR="00D51EBB" w:rsidRDefault="00D51EBB" w:rsidP="006C546F">
      <w:pPr>
        <w:pStyle w:val="ListParagraph"/>
        <w:numPr>
          <w:ilvl w:val="0"/>
          <w:numId w:val="15"/>
        </w:numPr>
        <w:spacing w:before="120" w:after="120" w:line="360" w:lineRule="auto"/>
        <w:ind w:left="720"/>
        <w:jc w:val="both"/>
      </w:pPr>
      <w:r>
        <w:t>South Africa experiences human capital challenges with</w:t>
      </w:r>
    </w:p>
    <w:p w:rsidR="00D51EBB" w:rsidRDefault="00D51EBB" w:rsidP="006C546F">
      <w:pPr>
        <w:pStyle w:val="ListParagraph"/>
        <w:numPr>
          <w:ilvl w:val="0"/>
          <w:numId w:val="17"/>
        </w:numPr>
        <w:spacing w:before="120" w:after="120" w:line="360" w:lineRule="auto"/>
        <w:ind w:left="1440"/>
        <w:jc w:val="both"/>
      </w:pPr>
      <w:r>
        <w:t>a much lower productivity percentage growth than other countries;</w:t>
      </w:r>
    </w:p>
    <w:p w:rsidR="00D51EBB" w:rsidRDefault="00D51EBB" w:rsidP="006C546F">
      <w:pPr>
        <w:pStyle w:val="ListParagraph"/>
        <w:numPr>
          <w:ilvl w:val="0"/>
          <w:numId w:val="17"/>
        </w:numPr>
        <w:spacing w:before="120" w:after="120" w:line="360" w:lineRule="auto"/>
        <w:ind w:left="1440"/>
        <w:jc w:val="both"/>
      </w:pPr>
      <w:r>
        <w:t>SA’s overall unit labor cost in dollar terms more volatile than other countries;</w:t>
      </w:r>
    </w:p>
    <w:p w:rsidR="00D51EBB" w:rsidRDefault="00D51EBB" w:rsidP="006C546F">
      <w:pPr>
        <w:pStyle w:val="ListParagraph"/>
        <w:numPr>
          <w:ilvl w:val="0"/>
          <w:numId w:val="17"/>
        </w:numPr>
        <w:spacing w:before="120" w:after="120" w:line="360" w:lineRule="auto"/>
        <w:ind w:left="1440"/>
        <w:jc w:val="both"/>
      </w:pPr>
      <w:r>
        <w:t>SA’s demand for skilled labour is increasing 2x faster than unskilled;</w:t>
      </w:r>
    </w:p>
    <w:p w:rsidR="00D51EBB" w:rsidRDefault="00D51EBB" w:rsidP="006C546F">
      <w:pPr>
        <w:pStyle w:val="ListParagraph"/>
        <w:numPr>
          <w:ilvl w:val="0"/>
          <w:numId w:val="17"/>
        </w:numPr>
        <w:spacing w:before="120" w:after="120" w:line="360" w:lineRule="auto"/>
        <w:ind w:left="1440"/>
        <w:jc w:val="both"/>
      </w:pPr>
      <w:r>
        <w:t>SA work stoppages far higher than other countries;</w:t>
      </w:r>
    </w:p>
    <w:p w:rsidR="00D51EBB" w:rsidRDefault="00D51EBB" w:rsidP="006C546F">
      <w:pPr>
        <w:pStyle w:val="ListParagraph"/>
        <w:numPr>
          <w:ilvl w:val="0"/>
          <w:numId w:val="17"/>
        </w:numPr>
        <w:spacing w:before="120" w:after="120" w:line="360" w:lineRule="auto"/>
        <w:ind w:left="1440"/>
        <w:jc w:val="both"/>
      </w:pPr>
      <w:r>
        <w:lastRenderedPageBreak/>
        <w:t>Lack of skilled labour appears to be a problem as much as surplus of unskilled labour;</w:t>
      </w:r>
    </w:p>
    <w:p w:rsidR="00D51EBB" w:rsidRDefault="00D51EBB" w:rsidP="006C546F">
      <w:pPr>
        <w:pStyle w:val="ListParagraph"/>
        <w:numPr>
          <w:ilvl w:val="0"/>
          <w:numId w:val="15"/>
        </w:numPr>
        <w:spacing w:before="120" w:after="120" w:line="360" w:lineRule="auto"/>
        <w:ind w:left="720"/>
        <w:jc w:val="both"/>
      </w:pPr>
      <w:r>
        <w:t>SA’s cost of capital higher than most peer countries</w:t>
      </w:r>
    </w:p>
    <w:p w:rsidR="00D51EBB" w:rsidRDefault="00D51EBB" w:rsidP="006C546F">
      <w:pPr>
        <w:pStyle w:val="ListParagraph"/>
        <w:numPr>
          <w:ilvl w:val="0"/>
          <w:numId w:val="15"/>
        </w:numPr>
        <w:spacing w:before="120" w:after="120" w:line="360" w:lineRule="auto"/>
        <w:ind w:left="720"/>
        <w:jc w:val="both"/>
      </w:pPr>
      <w:r>
        <w:t>Limited utilisation of technology and innovation to improve competitiveness appears to be a binding constraint;</w:t>
      </w:r>
    </w:p>
    <w:p w:rsidR="00D51EBB" w:rsidRDefault="00D51EBB" w:rsidP="006C546F">
      <w:pPr>
        <w:pStyle w:val="ListParagraph"/>
        <w:numPr>
          <w:ilvl w:val="0"/>
          <w:numId w:val="15"/>
        </w:numPr>
        <w:spacing w:before="120" w:after="120" w:line="360" w:lineRule="auto"/>
        <w:ind w:left="720"/>
        <w:jc w:val="both"/>
      </w:pPr>
      <w:r>
        <w:t>Shrinking manufacturing production</w:t>
      </w:r>
      <w:r w:rsidR="009052BF">
        <w:t>;</w:t>
      </w:r>
    </w:p>
    <w:p w:rsidR="00D51EBB" w:rsidRDefault="00D51EBB" w:rsidP="006C546F">
      <w:pPr>
        <w:pStyle w:val="ListParagraph"/>
        <w:numPr>
          <w:ilvl w:val="0"/>
          <w:numId w:val="15"/>
        </w:numPr>
        <w:spacing w:before="120" w:after="120" w:line="360" w:lineRule="auto"/>
        <w:ind w:left="720"/>
        <w:jc w:val="both"/>
      </w:pPr>
      <w:r>
        <w:t>Reliability of energy is a challenge</w:t>
      </w:r>
      <w:r w:rsidR="009052BF">
        <w:t>;</w:t>
      </w:r>
    </w:p>
    <w:p w:rsidR="00233B7D" w:rsidRDefault="00233B7D" w:rsidP="006C546F">
      <w:pPr>
        <w:pStyle w:val="ListParagraph"/>
        <w:numPr>
          <w:ilvl w:val="0"/>
          <w:numId w:val="15"/>
        </w:numPr>
        <w:spacing w:before="120" w:after="120" w:line="360" w:lineRule="auto"/>
        <w:ind w:left="720"/>
        <w:jc w:val="both"/>
      </w:pPr>
      <w:r>
        <w:t>Water scarcity</w:t>
      </w:r>
    </w:p>
    <w:p w:rsidR="000145D9" w:rsidRDefault="000145D9" w:rsidP="006C546F">
      <w:pPr>
        <w:pStyle w:val="ListParagraph"/>
        <w:numPr>
          <w:ilvl w:val="0"/>
          <w:numId w:val="15"/>
        </w:numPr>
        <w:spacing w:before="120" w:after="120" w:line="360" w:lineRule="auto"/>
        <w:ind w:left="720"/>
        <w:jc w:val="both"/>
      </w:pPr>
      <w:r>
        <w:t>Low business confidence results in businesses not making investments into the economy</w:t>
      </w:r>
      <w:r w:rsidR="009052BF">
        <w:t>.</w:t>
      </w:r>
    </w:p>
    <w:p w:rsidR="002C0986" w:rsidRDefault="002C0986" w:rsidP="008903D3">
      <w:pPr>
        <w:pStyle w:val="Heading2"/>
      </w:pPr>
      <w:bookmarkStart w:id="4" w:name="_Toc46991976"/>
      <w:r>
        <w:t>3.2</w:t>
      </w:r>
      <w:r>
        <w:tab/>
        <w:t>West Coast District: Impact of Covid-19 on the economy of the West Coast</w:t>
      </w:r>
      <w:bookmarkEnd w:id="4"/>
    </w:p>
    <w:p w:rsidR="002C0986" w:rsidRDefault="002C0986" w:rsidP="00EE23BE">
      <w:pPr>
        <w:spacing w:before="120" w:after="120" w:line="360" w:lineRule="auto"/>
        <w:jc w:val="both"/>
      </w:pPr>
      <w:r>
        <w:t>For the West Coast, based upon the above model, the impact on the economy in terms of GVA and employment on the economy of the West Coast can be summarised as follows:</w:t>
      </w:r>
    </w:p>
    <w:tbl>
      <w:tblPr>
        <w:tblW w:w="5000" w:type="pct"/>
        <w:tblCellMar>
          <w:left w:w="0" w:type="dxa"/>
          <w:right w:w="0" w:type="dxa"/>
        </w:tblCellMar>
        <w:tblLook w:val="0600" w:firstRow="0" w:lastRow="0" w:firstColumn="0" w:lastColumn="0" w:noHBand="1" w:noVBand="1"/>
      </w:tblPr>
      <w:tblGrid>
        <w:gridCol w:w="4263"/>
        <w:gridCol w:w="3047"/>
        <w:gridCol w:w="2437"/>
      </w:tblGrid>
      <w:tr w:rsidR="002C0986" w:rsidRPr="002C0986" w:rsidTr="00245C25">
        <w:trPr>
          <w:trHeight w:val="510"/>
        </w:trPr>
        <w:tc>
          <w:tcPr>
            <w:tcW w:w="2187" w:type="pct"/>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color w:val="FFFFFF" w:themeColor="background1"/>
                <w:sz w:val="20"/>
                <w:szCs w:val="20"/>
              </w:rPr>
            </w:pPr>
          </w:p>
        </w:tc>
        <w:tc>
          <w:tcPr>
            <w:tcW w:w="1563" w:type="pct"/>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color w:val="FFFFFF" w:themeColor="background1"/>
                <w:sz w:val="20"/>
                <w:szCs w:val="20"/>
              </w:rPr>
            </w:pPr>
            <w:r w:rsidRPr="002C0986">
              <w:rPr>
                <w:color w:val="FFFFFF" w:themeColor="background1"/>
                <w:sz w:val="20"/>
                <w:szCs w:val="20"/>
              </w:rPr>
              <w:t>YEAR 1 POST C-19</w:t>
            </w:r>
          </w:p>
        </w:tc>
        <w:tc>
          <w:tcPr>
            <w:tcW w:w="1250" w:type="pct"/>
            <w:tcBorders>
              <w:top w:val="single" w:sz="4" w:space="0" w:color="000000"/>
              <w:left w:val="single" w:sz="4" w:space="0" w:color="000000"/>
              <w:bottom w:val="single" w:sz="4" w:space="0" w:color="000000"/>
              <w:right w:val="nil"/>
            </w:tcBorders>
            <w:shd w:val="clear" w:color="auto" w:fill="4472C4"/>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color w:val="FFFFFF" w:themeColor="background1"/>
                <w:sz w:val="20"/>
                <w:szCs w:val="20"/>
              </w:rPr>
            </w:pPr>
            <w:r w:rsidRPr="002C0986">
              <w:rPr>
                <w:color w:val="FFFFFF" w:themeColor="background1"/>
                <w:sz w:val="20"/>
                <w:szCs w:val="20"/>
              </w:rPr>
              <w:t>YEAR 2 POST C-19</w:t>
            </w:r>
          </w:p>
        </w:tc>
      </w:tr>
      <w:tr w:rsidR="002C0986" w:rsidRPr="002C0986" w:rsidTr="00245C25">
        <w:trPr>
          <w:trHeight w:val="340"/>
        </w:trPr>
        <w:tc>
          <w:tcPr>
            <w:tcW w:w="21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C0986" w:rsidRPr="002C0986" w:rsidRDefault="002C0986" w:rsidP="00245C25">
            <w:pPr>
              <w:spacing w:before="60" w:after="60" w:line="360" w:lineRule="auto"/>
              <w:ind w:left="357"/>
              <w:rPr>
                <w:sz w:val="20"/>
                <w:szCs w:val="20"/>
              </w:rPr>
            </w:pPr>
            <w:r w:rsidRPr="002C0986">
              <w:rPr>
                <w:sz w:val="20"/>
                <w:szCs w:val="20"/>
              </w:rPr>
              <w:t>GVA</w:t>
            </w:r>
          </w:p>
        </w:tc>
        <w:tc>
          <w:tcPr>
            <w:tcW w:w="156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sz w:val="20"/>
                <w:szCs w:val="20"/>
              </w:rPr>
            </w:pPr>
            <w:r w:rsidRPr="002C0986">
              <w:rPr>
                <w:sz w:val="20"/>
                <w:szCs w:val="20"/>
              </w:rPr>
              <w:t>-13.4%</w:t>
            </w:r>
          </w:p>
        </w:tc>
        <w:tc>
          <w:tcPr>
            <w:tcW w:w="1250" w:type="pct"/>
            <w:tcBorders>
              <w:top w:val="single" w:sz="4" w:space="0" w:color="000000"/>
              <w:left w:val="single" w:sz="4" w:space="0" w:color="000000"/>
              <w:bottom w:val="single" w:sz="4" w:space="0" w:color="000000"/>
              <w:right w:val="nil"/>
            </w:tcBorders>
            <w:shd w:val="clear" w:color="auto" w:fill="D9E2F3" w:themeFill="accent5" w:themeFillTint="33"/>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sz w:val="20"/>
                <w:szCs w:val="20"/>
              </w:rPr>
            </w:pPr>
            <w:r w:rsidRPr="002C0986">
              <w:rPr>
                <w:sz w:val="20"/>
                <w:szCs w:val="20"/>
              </w:rPr>
              <w:t>9.6%</w:t>
            </w:r>
          </w:p>
        </w:tc>
      </w:tr>
      <w:tr w:rsidR="002C0986" w:rsidRPr="002C0986" w:rsidTr="00245C25">
        <w:trPr>
          <w:trHeight w:val="340"/>
        </w:trPr>
        <w:tc>
          <w:tcPr>
            <w:tcW w:w="21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C0986" w:rsidRPr="002C0986" w:rsidRDefault="002C0986" w:rsidP="00245C25">
            <w:pPr>
              <w:spacing w:before="60" w:after="60" w:line="360" w:lineRule="auto"/>
              <w:ind w:left="357"/>
              <w:rPr>
                <w:sz w:val="20"/>
                <w:szCs w:val="20"/>
              </w:rPr>
            </w:pPr>
            <w:r w:rsidRPr="002C0986">
              <w:rPr>
                <w:sz w:val="20"/>
                <w:szCs w:val="20"/>
              </w:rPr>
              <w:t>Employment</w:t>
            </w:r>
          </w:p>
        </w:tc>
        <w:tc>
          <w:tcPr>
            <w:tcW w:w="156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sz w:val="20"/>
                <w:szCs w:val="20"/>
              </w:rPr>
            </w:pPr>
            <w:r w:rsidRPr="002C0986">
              <w:rPr>
                <w:sz w:val="20"/>
                <w:szCs w:val="20"/>
              </w:rPr>
              <w:t>-7.0%</w:t>
            </w:r>
          </w:p>
        </w:tc>
        <w:tc>
          <w:tcPr>
            <w:tcW w:w="1250" w:type="pct"/>
            <w:tcBorders>
              <w:top w:val="single" w:sz="4" w:space="0" w:color="000000"/>
              <w:left w:val="single" w:sz="4" w:space="0" w:color="000000"/>
              <w:bottom w:val="single" w:sz="4" w:space="0" w:color="000000"/>
              <w:right w:val="nil"/>
            </w:tcBorders>
            <w:shd w:val="clear" w:color="auto" w:fill="D9E2F3" w:themeFill="accent5" w:themeFillTint="33"/>
            <w:tcMar>
              <w:top w:w="15" w:type="dxa"/>
              <w:left w:w="15" w:type="dxa"/>
              <w:bottom w:w="0" w:type="dxa"/>
              <w:right w:w="15" w:type="dxa"/>
            </w:tcMar>
            <w:vAlign w:val="center"/>
            <w:hideMark/>
          </w:tcPr>
          <w:p w:rsidR="002C0986" w:rsidRPr="002C0986" w:rsidRDefault="002C0986" w:rsidP="00245C25">
            <w:pPr>
              <w:spacing w:before="60" w:after="60" w:line="360" w:lineRule="auto"/>
              <w:ind w:left="357"/>
              <w:jc w:val="center"/>
              <w:rPr>
                <w:sz w:val="20"/>
                <w:szCs w:val="20"/>
              </w:rPr>
            </w:pPr>
            <w:r w:rsidRPr="002C0986">
              <w:rPr>
                <w:sz w:val="20"/>
                <w:szCs w:val="20"/>
              </w:rPr>
              <w:t>5.3%</w:t>
            </w:r>
          </w:p>
        </w:tc>
      </w:tr>
    </w:tbl>
    <w:p w:rsidR="00AF10B5" w:rsidRDefault="00AF10B5" w:rsidP="00AF10B5">
      <w:pPr>
        <w:spacing w:before="120" w:after="120" w:line="360" w:lineRule="auto"/>
        <w:jc w:val="both"/>
      </w:pPr>
      <w:r>
        <w:t>The following tables provides an overview of the impact of the lockdown on the GVA of the West Coast District Municipal Area as well as in terms of job losses:</w:t>
      </w:r>
    </w:p>
    <w:tbl>
      <w:tblPr>
        <w:tblW w:w="5000" w:type="pct"/>
        <w:tblLayout w:type="fixed"/>
        <w:tblCellMar>
          <w:left w:w="0" w:type="dxa"/>
          <w:right w:w="0" w:type="dxa"/>
        </w:tblCellMar>
        <w:tblLook w:val="0600" w:firstRow="0" w:lastRow="0" w:firstColumn="0" w:lastColumn="0" w:noHBand="1" w:noVBand="1"/>
      </w:tblPr>
      <w:tblGrid>
        <w:gridCol w:w="2148"/>
        <w:gridCol w:w="1004"/>
        <w:gridCol w:w="861"/>
        <w:gridCol w:w="861"/>
        <w:gridCol w:w="859"/>
        <w:gridCol w:w="861"/>
        <w:gridCol w:w="859"/>
        <w:gridCol w:w="719"/>
        <w:gridCol w:w="859"/>
        <w:gridCol w:w="711"/>
      </w:tblGrid>
      <w:tr w:rsidR="00EE23BE" w:rsidRPr="00BD13FA" w:rsidTr="001711DF">
        <w:trPr>
          <w:trHeight w:val="1134"/>
          <w:tblHeader/>
        </w:trPr>
        <w:tc>
          <w:tcPr>
            <w:tcW w:w="1102"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 </w:t>
            </w:r>
          </w:p>
        </w:tc>
        <w:tc>
          <w:tcPr>
            <w:tcW w:w="515"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TOTAL GVA IN 2019</w:t>
            </w:r>
          </w:p>
        </w:tc>
        <w:tc>
          <w:tcPr>
            <w:tcW w:w="442"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POST 1-2 MONTHS GVA LOSS</w:t>
            </w:r>
          </w:p>
        </w:tc>
        <w:tc>
          <w:tcPr>
            <w:tcW w:w="442"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POST 3-6 MONTHS  GVA LOSS</w:t>
            </w:r>
          </w:p>
        </w:tc>
        <w:tc>
          <w:tcPr>
            <w:tcW w:w="441"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POST 7-12 MONTHS GVA LOSS</w:t>
            </w:r>
          </w:p>
        </w:tc>
        <w:tc>
          <w:tcPr>
            <w:tcW w:w="442"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NET GVA LOSS</w:t>
            </w:r>
          </w:p>
        </w:tc>
        <w:tc>
          <w:tcPr>
            <w:tcW w:w="441"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NET LOSS AS A % OF SUB SECTOR</w:t>
            </w:r>
          </w:p>
        </w:tc>
        <w:tc>
          <w:tcPr>
            <w:tcW w:w="369"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NET LOSS AS A % OF TOTAL GVA</w:t>
            </w:r>
          </w:p>
        </w:tc>
        <w:tc>
          <w:tcPr>
            <w:tcW w:w="441"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POST 13 - 24 MONTHS GVA LOSS</w:t>
            </w:r>
          </w:p>
        </w:tc>
        <w:tc>
          <w:tcPr>
            <w:tcW w:w="365"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center"/>
            <w:hideMark/>
          </w:tcPr>
          <w:p w:rsidR="00BD13FA" w:rsidRPr="00AF10B5" w:rsidRDefault="00BD13FA" w:rsidP="00245C25">
            <w:pPr>
              <w:spacing w:before="60" w:after="60" w:line="240" w:lineRule="auto"/>
              <w:jc w:val="center"/>
              <w:rPr>
                <w:color w:val="FFFFFF" w:themeColor="background1"/>
                <w:sz w:val="18"/>
                <w:szCs w:val="18"/>
              </w:rPr>
            </w:pPr>
            <w:r w:rsidRPr="00AF10B5">
              <w:rPr>
                <w:b/>
                <w:bCs/>
                <w:color w:val="FFFFFF" w:themeColor="background1"/>
                <w:sz w:val="18"/>
                <w:szCs w:val="18"/>
                <w:lang w:val="en-US"/>
              </w:rPr>
              <w:t>NET LOSS AS A % OF GVA</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Tourism</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549,209</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66,409</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175,747</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219,684</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461,839</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84.1%</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1.5%</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274,605</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50.0%</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Agriculture</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4,205,054</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141,607</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140,168</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50,180</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331,955</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7.9%</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1.1%</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53,926</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1.3%</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Mining</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245,137</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24,245</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20,428</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4,675</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49,348</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20.1%</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0.2%</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14,679</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6.0%</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Manufacturing</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5,498,279</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221,556</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311,555</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149,124</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682,235</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12.4%</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2.3%</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320,835</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5.8%</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Electricity</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1,118,584</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14,104</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22,171</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11,186</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47,461</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4.2%</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0.2%</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55,929</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5.0%</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Construction</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1,511,619</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113,371</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200,895</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301,097</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615,364</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40.7%</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2.1%</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151,162</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10.0%</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Trade</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4,645,695</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221,642</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201,679</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193,067</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616,387</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13.3%</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2.1%</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273,540</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5.9%</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Transport (incl telecomms)</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3,213,717</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266,642</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143,747</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217,574</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627,963</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19.5%</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2.1%</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148,749</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4.6%</w:t>
            </w:r>
          </w:p>
        </w:tc>
      </w:tr>
      <w:tr w:rsidR="00EE23BE" w:rsidRPr="00BD13FA" w:rsidTr="00245C25">
        <w:trPr>
          <w:trHeight w:val="737"/>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Finance (finance, insurance, real estate and other services)</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4,360,753</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78,359</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72,679</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87,495</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238,533</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5.5%</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0.8%</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180,633</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4.1%</w:t>
            </w:r>
          </w:p>
        </w:tc>
      </w:tr>
      <w:tr w:rsidR="00EE23BE" w:rsidRPr="00BD13FA" w:rsidTr="00245C25">
        <w:trPr>
          <w:trHeight w:val="850"/>
        </w:trPr>
        <w:tc>
          <w:tcPr>
            <w:tcW w:w="110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lastRenderedPageBreak/>
              <w:t>Community services (Public admin, defence, health &amp; social work, other community services)</w:t>
            </w:r>
          </w:p>
        </w:tc>
        <w:tc>
          <w:tcPr>
            <w:tcW w:w="515"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4,473,969</w:t>
            </w:r>
          </w:p>
        </w:tc>
        <w:tc>
          <w:tcPr>
            <w:tcW w:w="442"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64,202</w:t>
            </w:r>
          </w:p>
        </w:tc>
        <w:tc>
          <w:tcPr>
            <w:tcW w:w="442"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125,077</w:t>
            </w:r>
          </w:p>
        </w:tc>
        <w:tc>
          <w:tcPr>
            <w:tcW w:w="441"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135,539</w:t>
            </w:r>
          </w:p>
        </w:tc>
        <w:tc>
          <w:tcPr>
            <w:tcW w:w="442"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324,818</w:t>
            </w:r>
          </w:p>
        </w:tc>
        <w:tc>
          <w:tcPr>
            <w:tcW w:w="441"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7.3%</w:t>
            </w:r>
          </w:p>
        </w:tc>
        <w:tc>
          <w:tcPr>
            <w:tcW w:w="369" w:type="pct"/>
            <w:tcBorders>
              <w:top w:val="single" w:sz="4" w:space="0" w:color="000000"/>
              <w:left w:val="single" w:sz="4" w:space="0" w:color="000000"/>
              <w:bottom w:val="single" w:sz="4" w:space="0" w:color="000000"/>
              <w:right w:val="single" w:sz="4" w:space="0" w:color="000000"/>
            </w:tcBorders>
            <w:shd w:val="clear" w:color="auto" w:fill="DCE6F2"/>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1.1%</w:t>
            </w:r>
          </w:p>
        </w:tc>
        <w:tc>
          <w:tcPr>
            <w:tcW w:w="441"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31,945</w:t>
            </w:r>
          </w:p>
        </w:tc>
        <w:tc>
          <w:tcPr>
            <w:tcW w:w="365"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0.7%</w:t>
            </w:r>
          </w:p>
        </w:tc>
      </w:tr>
      <w:tr w:rsidR="00EE23BE" w:rsidRPr="00BD13FA"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rPr>
                <w:sz w:val="18"/>
                <w:szCs w:val="18"/>
              </w:rPr>
            </w:pPr>
            <w:r w:rsidRPr="00AF10B5">
              <w:rPr>
                <w:sz w:val="18"/>
                <w:szCs w:val="18"/>
                <w:lang w:val="en-US"/>
              </w:rPr>
              <w:t> </w:t>
            </w:r>
          </w:p>
        </w:tc>
        <w:tc>
          <w:tcPr>
            <w:tcW w:w="515"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29,822,016</w:t>
            </w:r>
          </w:p>
        </w:tc>
        <w:tc>
          <w:tcPr>
            <w:tcW w:w="44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1,212,135</w:t>
            </w:r>
          </w:p>
        </w:tc>
        <w:tc>
          <w:tcPr>
            <w:tcW w:w="44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1,414,148</w:t>
            </w:r>
          </w:p>
        </w:tc>
        <w:tc>
          <w:tcPr>
            <w:tcW w:w="441"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1,369,621</w:t>
            </w:r>
          </w:p>
        </w:tc>
        <w:tc>
          <w:tcPr>
            <w:tcW w:w="44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3,995,904</w:t>
            </w:r>
          </w:p>
        </w:tc>
        <w:tc>
          <w:tcPr>
            <w:tcW w:w="441"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p>
        </w:tc>
        <w:tc>
          <w:tcPr>
            <w:tcW w:w="441"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r w:rsidRPr="00AF10B5">
              <w:rPr>
                <w:sz w:val="18"/>
                <w:szCs w:val="18"/>
                <w:lang w:val="en-US"/>
              </w:rPr>
              <w:t>1,506,003</w:t>
            </w:r>
          </w:p>
        </w:tc>
        <w:tc>
          <w:tcPr>
            <w:tcW w:w="365"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BD13FA" w:rsidRPr="00AF10B5" w:rsidRDefault="00BD13FA" w:rsidP="00245C25">
            <w:pPr>
              <w:spacing w:before="60" w:after="60" w:line="240" w:lineRule="auto"/>
              <w:jc w:val="center"/>
              <w:rPr>
                <w:sz w:val="18"/>
                <w:szCs w:val="18"/>
              </w:rPr>
            </w:pPr>
          </w:p>
        </w:tc>
      </w:tr>
      <w:tr w:rsidR="00EE23BE" w:rsidRPr="00EE23BE" w:rsidTr="00EE23BE">
        <w:trPr>
          <w:trHeight w:val="528"/>
        </w:trPr>
        <w:tc>
          <w:tcPr>
            <w:tcW w:w="110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p>
        </w:tc>
        <w:tc>
          <w:tcPr>
            <w:tcW w:w="515"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p>
        </w:tc>
        <w:tc>
          <w:tcPr>
            <w:tcW w:w="44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r w:rsidRPr="00EE23BE">
              <w:rPr>
                <w:sz w:val="18"/>
                <w:lang w:val="en-US"/>
              </w:rPr>
              <w:t>4.06%</w:t>
            </w:r>
          </w:p>
        </w:tc>
        <w:tc>
          <w:tcPr>
            <w:tcW w:w="44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r w:rsidRPr="00EE23BE">
              <w:rPr>
                <w:sz w:val="18"/>
                <w:lang w:val="en-US"/>
              </w:rPr>
              <w:t>4.74%</w:t>
            </w:r>
          </w:p>
        </w:tc>
        <w:tc>
          <w:tcPr>
            <w:tcW w:w="441"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r w:rsidRPr="00EE23BE">
              <w:rPr>
                <w:sz w:val="18"/>
                <w:lang w:val="en-US"/>
              </w:rPr>
              <w:t>4.59%</w:t>
            </w:r>
          </w:p>
        </w:tc>
        <w:tc>
          <w:tcPr>
            <w:tcW w:w="442"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r w:rsidRPr="00EE23BE">
              <w:rPr>
                <w:sz w:val="18"/>
                <w:lang w:val="en-US"/>
              </w:rPr>
              <w:t>13.40%</w:t>
            </w:r>
          </w:p>
        </w:tc>
        <w:tc>
          <w:tcPr>
            <w:tcW w:w="441"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rPr>
            </w:pPr>
          </w:p>
        </w:tc>
        <w:tc>
          <w:tcPr>
            <w:tcW w:w="369"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rPr>
            </w:pPr>
          </w:p>
        </w:tc>
        <w:tc>
          <w:tcPr>
            <w:tcW w:w="441"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lang w:val="en-US"/>
              </w:rPr>
            </w:pPr>
            <w:r w:rsidRPr="00EE23BE">
              <w:rPr>
                <w:sz w:val="18"/>
                <w:lang w:val="en-US"/>
              </w:rPr>
              <w:t>5.05%</w:t>
            </w:r>
          </w:p>
        </w:tc>
        <w:tc>
          <w:tcPr>
            <w:tcW w:w="365" w:type="pct"/>
            <w:tcBorders>
              <w:top w:val="single" w:sz="4" w:space="0" w:color="000000"/>
              <w:left w:val="single" w:sz="4" w:space="0" w:color="000000"/>
              <w:bottom w:val="single" w:sz="4" w:space="0" w:color="000000"/>
              <w:right w:val="single" w:sz="4" w:space="0" w:color="000000"/>
            </w:tcBorders>
            <w:shd w:val="clear" w:color="auto" w:fill="FAC090"/>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rPr>
            </w:pPr>
          </w:p>
        </w:tc>
      </w:tr>
    </w:tbl>
    <w:p w:rsidR="002C0986" w:rsidRDefault="002C0986" w:rsidP="002C0986"/>
    <w:tbl>
      <w:tblPr>
        <w:tblW w:w="5000" w:type="pct"/>
        <w:tblCellMar>
          <w:left w:w="0" w:type="dxa"/>
          <w:right w:w="0" w:type="dxa"/>
        </w:tblCellMar>
        <w:tblLook w:val="0600" w:firstRow="0" w:lastRow="0" w:firstColumn="0" w:lastColumn="0" w:noHBand="1" w:noVBand="1"/>
      </w:tblPr>
      <w:tblGrid>
        <w:gridCol w:w="1131"/>
        <w:gridCol w:w="875"/>
        <w:gridCol w:w="1007"/>
        <w:gridCol w:w="1009"/>
        <w:gridCol w:w="1009"/>
        <w:gridCol w:w="846"/>
        <w:gridCol w:w="1003"/>
        <w:gridCol w:w="844"/>
        <w:gridCol w:w="1011"/>
        <w:gridCol w:w="1007"/>
      </w:tblGrid>
      <w:tr w:rsidR="00EE23BE" w:rsidRPr="00EE23BE" w:rsidTr="00245C25">
        <w:trPr>
          <w:trHeight w:val="1191"/>
          <w:tblHeader/>
        </w:trPr>
        <w:tc>
          <w:tcPr>
            <w:tcW w:w="580"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bottom"/>
            <w:hideMark/>
          </w:tcPr>
          <w:p w:rsidR="00EE23BE" w:rsidRPr="00EE23BE" w:rsidRDefault="00EE23BE" w:rsidP="00245C25">
            <w:pPr>
              <w:spacing w:before="60" w:after="60" w:line="240" w:lineRule="auto"/>
            </w:pPr>
          </w:p>
        </w:tc>
        <w:tc>
          <w:tcPr>
            <w:tcW w:w="449"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TOTAL EMPLOYED IN 2019</w:t>
            </w:r>
          </w:p>
        </w:tc>
        <w:tc>
          <w:tcPr>
            <w:tcW w:w="517"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POST 1-2 MONTHS EMPLOY</w:t>
            </w:r>
            <w:r>
              <w:rPr>
                <w:b/>
                <w:bCs/>
                <w:color w:val="FFFFFF" w:themeColor="background1"/>
                <w:sz w:val="18"/>
                <w:lang w:val="en-US"/>
              </w:rPr>
              <w:t>-</w:t>
            </w:r>
            <w:r w:rsidRPr="00EE23BE">
              <w:rPr>
                <w:b/>
                <w:bCs/>
                <w:color w:val="FFFFFF" w:themeColor="background1"/>
                <w:sz w:val="18"/>
                <w:lang w:val="en-US"/>
              </w:rPr>
              <w:t>MENT LOSS</w:t>
            </w:r>
          </w:p>
        </w:tc>
        <w:tc>
          <w:tcPr>
            <w:tcW w:w="518"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POST 3-6 MONTHS  EMPLOY</w:t>
            </w:r>
            <w:r>
              <w:rPr>
                <w:b/>
                <w:bCs/>
                <w:color w:val="FFFFFF" w:themeColor="background1"/>
                <w:sz w:val="18"/>
                <w:lang w:val="en-US"/>
              </w:rPr>
              <w:t>-</w:t>
            </w:r>
            <w:r w:rsidRPr="00EE23BE">
              <w:rPr>
                <w:b/>
                <w:bCs/>
                <w:color w:val="FFFFFF" w:themeColor="background1"/>
                <w:sz w:val="18"/>
                <w:lang w:val="en-US"/>
              </w:rPr>
              <w:t>MENT LOSS</w:t>
            </w:r>
          </w:p>
        </w:tc>
        <w:tc>
          <w:tcPr>
            <w:tcW w:w="518"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POST 7-12 MONTHS  EMPLOY</w:t>
            </w:r>
            <w:r>
              <w:rPr>
                <w:b/>
                <w:bCs/>
                <w:color w:val="FFFFFF" w:themeColor="background1"/>
                <w:sz w:val="18"/>
                <w:lang w:val="en-US"/>
              </w:rPr>
              <w:t>-</w:t>
            </w:r>
            <w:r w:rsidRPr="00EE23BE">
              <w:rPr>
                <w:b/>
                <w:bCs/>
                <w:color w:val="FFFFFF" w:themeColor="background1"/>
                <w:sz w:val="18"/>
                <w:lang w:val="en-US"/>
              </w:rPr>
              <w:t>MENT</w:t>
            </w:r>
          </w:p>
        </w:tc>
        <w:tc>
          <w:tcPr>
            <w:tcW w:w="434"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NET EMPLOY</w:t>
            </w:r>
            <w:r>
              <w:rPr>
                <w:b/>
                <w:bCs/>
                <w:color w:val="FFFFFF" w:themeColor="background1"/>
                <w:sz w:val="18"/>
                <w:lang w:val="en-US"/>
              </w:rPr>
              <w:t>-</w:t>
            </w:r>
            <w:r w:rsidRPr="00EE23BE">
              <w:rPr>
                <w:b/>
                <w:bCs/>
                <w:color w:val="FFFFFF" w:themeColor="background1"/>
                <w:sz w:val="18"/>
                <w:lang w:val="en-US"/>
              </w:rPr>
              <w:t>MENT LOSSES</w:t>
            </w:r>
          </w:p>
        </w:tc>
        <w:tc>
          <w:tcPr>
            <w:tcW w:w="515"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NET EMPLOY</w:t>
            </w:r>
            <w:r>
              <w:rPr>
                <w:b/>
                <w:bCs/>
                <w:color w:val="FFFFFF" w:themeColor="background1"/>
                <w:sz w:val="18"/>
                <w:lang w:val="en-US"/>
              </w:rPr>
              <w:t xml:space="preserve"> </w:t>
            </w:r>
            <w:r w:rsidRPr="00EE23BE">
              <w:rPr>
                <w:b/>
                <w:bCs/>
                <w:color w:val="FFFFFF" w:themeColor="background1"/>
                <w:sz w:val="18"/>
                <w:lang w:val="en-US"/>
              </w:rPr>
              <w:t>MENT  LOSS % OF SUB</w:t>
            </w:r>
            <w:r>
              <w:rPr>
                <w:b/>
                <w:bCs/>
                <w:color w:val="FFFFFF" w:themeColor="background1"/>
                <w:sz w:val="18"/>
                <w:lang w:val="en-US"/>
              </w:rPr>
              <w:t xml:space="preserve"> </w:t>
            </w:r>
            <w:r w:rsidRPr="00EE23BE">
              <w:rPr>
                <w:b/>
                <w:bCs/>
                <w:color w:val="FFFFFF" w:themeColor="background1"/>
                <w:sz w:val="18"/>
                <w:lang w:val="en-US"/>
              </w:rPr>
              <w:t>SECTOR</w:t>
            </w:r>
          </w:p>
        </w:tc>
        <w:tc>
          <w:tcPr>
            <w:tcW w:w="433"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NET LOSS AS A % OF TOTAL EMPLOY</w:t>
            </w:r>
            <w:r>
              <w:rPr>
                <w:b/>
                <w:bCs/>
                <w:color w:val="FFFFFF" w:themeColor="background1"/>
                <w:sz w:val="18"/>
                <w:lang w:val="en-US"/>
              </w:rPr>
              <w:t>-</w:t>
            </w:r>
            <w:r w:rsidRPr="00EE23BE">
              <w:rPr>
                <w:b/>
                <w:bCs/>
                <w:color w:val="FFFFFF" w:themeColor="background1"/>
                <w:sz w:val="18"/>
                <w:lang w:val="en-US"/>
              </w:rPr>
              <w:t>MENT</w:t>
            </w:r>
          </w:p>
        </w:tc>
        <w:tc>
          <w:tcPr>
            <w:tcW w:w="519"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POST 13 - 24 MONTHS EMPLOY</w:t>
            </w:r>
            <w:r>
              <w:rPr>
                <w:b/>
                <w:bCs/>
                <w:color w:val="FFFFFF" w:themeColor="background1"/>
                <w:sz w:val="18"/>
                <w:lang w:val="en-US"/>
              </w:rPr>
              <w:t>-</w:t>
            </w:r>
            <w:r w:rsidRPr="00EE23BE">
              <w:rPr>
                <w:b/>
                <w:bCs/>
                <w:color w:val="FFFFFF" w:themeColor="background1"/>
                <w:sz w:val="18"/>
                <w:lang w:val="en-US"/>
              </w:rPr>
              <w:t>MENT LOSS</w:t>
            </w:r>
          </w:p>
        </w:tc>
        <w:tc>
          <w:tcPr>
            <w:tcW w:w="517"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EE23BE" w:rsidRPr="00EE23BE" w:rsidRDefault="00EE23BE" w:rsidP="00245C25">
            <w:pPr>
              <w:spacing w:before="60" w:after="60" w:line="240" w:lineRule="auto"/>
              <w:jc w:val="center"/>
              <w:rPr>
                <w:color w:val="FFFFFF" w:themeColor="background1"/>
                <w:sz w:val="18"/>
              </w:rPr>
            </w:pPr>
            <w:r w:rsidRPr="00EE23BE">
              <w:rPr>
                <w:b/>
                <w:bCs/>
                <w:color w:val="FFFFFF" w:themeColor="background1"/>
                <w:sz w:val="18"/>
                <w:lang w:val="en-US"/>
              </w:rPr>
              <w:t>NET LOSS AS A % OF EMPLOY</w:t>
            </w:r>
            <w:r>
              <w:rPr>
                <w:b/>
                <w:bCs/>
                <w:color w:val="FFFFFF" w:themeColor="background1"/>
                <w:sz w:val="18"/>
                <w:lang w:val="en-US"/>
              </w:rPr>
              <w:t>-</w:t>
            </w:r>
            <w:r w:rsidRPr="00EE23BE">
              <w:rPr>
                <w:b/>
                <w:bCs/>
                <w:color w:val="FFFFFF" w:themeColor="background1"/>
                <w:sz w:val="18"/>
                <w:lang w:val="en-US"/>
              </w:rPr>
              <w:t>MENT</w:t>
            </w:r>
          </w:p>
        </w:tc>
      </w:tr>
      <w:tr w:rsidR="00EE23BE" w:rsidRPr="00EE23BE" w:rsidTr="00036912">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 xml:space="preserve">Informal </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13,694</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703</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767</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268</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1,738</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12.7%</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1.1%</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110</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0.8%</w:t>
            </w:r>
          </w:p>
        </w:tc>
      </w:tr>
      <w:tr w:rsidR="00EE23BE" w:rsidRPr="00EE23BE" w:rsidTr="00036912">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Tourism</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7,092</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579</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1,634</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2,043</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4,256</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60.0%</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2.7%</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1,702</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24.0%</w:t>
            </w:r>
          </w:p>
        </w:tc>
      </w:tr>
      <w:tr w:rsidR="00EE23BE" w:rsidRPr="00EE23BE" w:rsidTr="00036912">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Agriculture</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63,047</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118</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525</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144</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787</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1.2%</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0.5%</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0.0%</w:t>
            </w:r>
          </w:p>
        </w:tc>
      </w:tr>
      <w:tr w:rsidR="00EE23BE" w:rsidRPr="00EE23BE" w:rsidTr="00EE23BE">
        <w:trPr>
          <w:trHeight w:val="407"/>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Mining</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634</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18</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5</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28</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4.4%</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0.0%</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13</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2.1%</w:t>
            </w:r>
          </w:p>
        </w:tc>
      </w:tr>
      <w:tr w:rsidR="00EE23BE" w:rsidRPr="00EE23BE" w:rsidTr="00036912">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Manufacturing</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19,373</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111</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387</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222</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720</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3.7%</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0.5%</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406</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2.1%</w:t>
            </w:r>
          </w:p>
        </w:tc>
      </w:tr>
      <w:tr w:rsidR="00EE23BE" w:rsidRPr="00EE23BE" w:rsidTr="00036912">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Electricity</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362</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1.1%</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0.0%</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6</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1.8%</w:t>
            </w:r>
          </w:p>
        </w:tc>
      </w:tr>
      <w:tr w:rsidR="00EE23BE" w:rsidRPr="00EE23BE" w:rsidTr="00036912">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Construction</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7,165</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408</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533</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913</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1,855</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25.9%</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1.2%</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344</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4.8%</w:t>
            </w:r>
          </w:p>
        </w:tc>
      </w:tr>
      <w:tr w:rsidR="00EE23BE" w:rsidRPr="00EE23BE" w:rsidTr="00245C25">
        <w:trPr>
          <w:trHeight w:val="283"/>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Trade</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14,904</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111</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278</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391</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780</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5.2%</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0.5%</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403</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2.7%</w:t>
            </w:r>
          </w:p>
        </w:tc>
      </w:tr>
      <w:tr w:rsidR="00EE23BE" w:rsidRPr="00EE23BE" w:rsidTr="00245C25">
        <w:trPr>
          <w:trHeight w:val="567"/>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Transport (incl telecomms)</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2,536</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16</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44</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75</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135</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5.3%</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0.1%</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40</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1.6%</w:t>
            </w:r>
          </w:p>
        </w:tc>
      </w:tr>
      <w:tr w:rsidR="00EE23BE" w:rsidRPr="00EE23BE" w:rsidTr="00A31CC1">
        <w:trPr>
          <w:trHeight w:val="435"/>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Finance (finance, insu</w:t>
            </w:r>
            <w:r w:rsidR="00A31CC1">
              <w:rPr>
                <w:sz w:val="18"/>
                <w:szCs w:val="18"/>
                <w:lang w:val="en-US"/>
              </w:rPr>
              <w:t>-</w:t>
            </w:r>
            <w:r w:rsidRPr="00EE23BE">
              <w:rPr>
                <w:sz w:val="18"/>
                <w:szCs w:val="18"/>
                <w:lang w:val="en-US"/>
              </w:rPr>
              <w:t>rance, real estate and other services)</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14,406</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66</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96</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171</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333</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2.3%</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0.2%</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272</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sz w:val="18"/>
                <w:szCs w:val="18"/>
                <w:lang w:val="en-US"/>
              </w:rPr>
              <w:t>1.9%</w:t>
            </w:r>
          </w:p>
        </w:tc>
      </w:tr>
      <w:tr w:rsidR="00EE23BE" w:rsidRPr="00EE23BE" w:rsidTr="00245C25">
        <w:trPr>
          <w:trHeight w:val="1814"/>
        </w:trPr>
        <w:tc>
          <w:tcPr>
            <w:tcW w:w="58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 xml:space="preserve">Community services (Public admin, </w:t>
            </w:r>
            <w:r w:rsidR="00F038D5" w:rsidRPr="00EE23BE">
              <w:rPr>
                <w:sz w:val="18"/>
                <w:szCs w:val="18"/>
                <w:lang w:val="en-US"/>
              </w:rPr>
              <w:t>defense</w:t>
            </w:r>
            <w:r w:rsidRPr="00EE23BE">
              <w:rPr>
                <w:sz w:val="18"/>
                <w:szCs w:val="18"/>
                <w:lang w:val="en-US"/>
              </w:rPr>
              <w:t>, health &amp; social work, other community services)</w:t>
            </w:r>
          </w:p>
        </w:tc>
        <w:tc>
          <w:tcPr>
            <w:tcW w:w="449"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16,113</w:t>
            </w:r>
          </w:p>
        </w:tc>
        <w:tc>
          <w:tcPr>
            <w:tcW w:w="517"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22</w:t>
            </w:r>
          </w:p>
        </w:tc>
        <w:tc>
          <w:tcPr>
            <w:tcW w:w="518"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210</w:t>
            </w:r>
          </w:p>
        </w:tc>
        <w:tc>
          <w:tcPr>
            <w:tcW w:w="518"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266</w:t>
            </w:r>
          </w:p>
        </w:tc>
        <w:tc>
          <w:tcPr>
            <w:tcW w:w="43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498</w:t>
            </w:r>
          </w:p>
        </w:tc>
        <w:tc>
          <w:tcPr>
            <w:tcW w:w="515"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3.1%</w:t>
            </w:r>
          </w:p>
        </w:tc>
        <w:tc>
          <w:tcPr>
            <w:tcW w:w="433"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0.3%</w:t>
            </w:r>
          </w:p>
        </w:tc>
        <w:tc>
          <w:tcPr>
            <w:tcW w:w="519"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53</w:t>
            </w:r>
          </w:p>
        </w:tc>
        <w:tc>
          <w:tcPr>
            <w:tcW w:w="517"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0.3%</w:t>
            </w:r>
          </w:p>
        </w:tc>
      </w:tr>
      <w:tr w:rsidR="00EE23BE" w:rsidRPr="00EE23BE" w:rsidTr="00A31CC1">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Total</w:t>
            </w:r>
          </w:p>
        </w:tc>
        <w:tc>
          <w:tcPr>
            <w:tcW w:w="449"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159,326</w:t>
            </w:r>
          </w:p>
        </w:tc>
        <w:tc>
          <w:tcPr>
            <w:tcW w:w="517"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2,141</w:t>
            </w:r>
          </w:p>
        </w:tc>
        <w:tc>
          <w:tcPr>
            <w:tcW w:w="518"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4,496</w:t>
            </w:r>
          </w:p>
        </w:tc>
        <w:tc>
          <w:tcPr>
            <w:tcW w:w="518"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4,499</w:t>
            </w:r>
          </w:p>
        </w:tc>
        <w:tc>
          <w:tcPr>
            <w:tcW w:w="434"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11,135</w:t>
            </w:r>
          </w:p>
        </w:tc>
        <w:tc>
          <w:tcPr>
            <w:tcW w:w="515"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p>
        </w:tc>
        <w:tc>
          <w:tcPr>
            <w:tcW w:w="433"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p>
        </w:tc>
        <w:tc>
          <w:tcPr>
            <w:tcW w:w="519"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r w:rsidRPr="00EE23BE">
              <w:rPr>
                <w:sz w:val="18"/>
                <w:szCs w:val="18"/>
                <w:lang w:val="en-US"/>
              </w:rPr>
              <w:t>3,355</w:t>
            </w:r>
          </w:p>
        </w:tc>
        <w:tc>
          <w:tcPr>
            <w:tcW w:w="517"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center"/>
            <w:hideMark/>
          </w:tcPr>
          <w:p w:rsidR="00EE23BE" w:rsidRPr="00EE23BE" w:rsidRDefault="00EE23BE" w:rsidP="00245C25">
            <w:pPr>
              <w:spacing w:before="60" w:after="60" w:line="240" w:lineRule="auto"/>
              <w:jc w:val="center"/>
              <w:rPr>
                <w:sz w:val="18"/>
                <w:szCs w:val="18"/>
              </w:rPr>
            </w:pPr>
          </w:p>
        </w:tc>
      </w:tr>
      <w:tr w:rsidR="00EE23BE" w:rsidRPr="00EE23BE" w:rsidTr="00A31CC1">
        <w:trPr>
          <w:trHeight w:val="340"/>
        </w:trPr>
        <w:tc>
          <w:tcPr>
            <w:tcW w:w="580"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rPr>
                <w:sz w:val="18"/>
                <w:szCs w:val="18"/>
              </w:rPr>
            </w:pPr>
            <w:r w:rsidRPr="00EE23BE">
              <w:rPr>
                <w:sz w:val="18"/>
                <w:szCs w:val="18"/>
                <w:lang w:val="en-US"/>
              </w:rPr>
              <w:t> </w:t>
            </w:r>
          </w:p>
        </w:tc>
        <w:tc>
          <w:tcPr>
            <w:tcW w:w="449"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p>
        </w:tc>
        <w:tc>
          <w:tcPr>
            <w:tcW w:w="517"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b/>
                <w:bCs/>
                <w:sz w:val="18"/>
                <w:szCs w:val="18"/>
                <w:lang w:val="en-US"/>
              </w:rPr>
              <w:t>1.34%</w:t>
            </w:r>
          </w:p>
        </w:tc>
        <w:tc>
          <w:tcPr>
            <w:tcW w:w="518"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b/>
                <w:bCs/>
                <w:sz w:val="18"/>
                <w:szCs w:val="18"/>
                <w:lang w:val="en-US"/>
              </w:rPr>
              <w:t>2.82%</w:t>
            </w:r>
          </w:p>
        </w:tc>
        <w:tc>
          <w:tcPr>
            <w:tcW w:w="518"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b/>
                <w:bCs/>
                <w:sz w:val="18"/>
                <w:szCs w:val="18"/>
                <w:lang w:val="en-US"/>
              </w:rPr>
              <w:t>2.82%</w:t>
            </w:r>
          </w:p>
        </w:tc>
        <w:tc>
          <w:tcPr>
            <w:tcW w:w="434"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b/>
                <w:bCs/>
                <w:sz w:val="18"/>
                <w:szCs w:val="18"/>
                <w:lang w:val="en-US"/>
              </w:rPr>
              <w:t>6.99%</w:t>
            </w:r>
          </w:p>
        </w:tc>
        <w:tc>
          <w:tcPr>
            <w:tcW w:w="515"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b/>
                <w:bCs/>
                <w:sz w:val="18"/>
                <w:szCs w:val="18"/>
                <w:lang w:val="en-US"/>
              </w:rPr>
              <w:t>-7.0%</w:t>
            </w:r>
          </w:p>
        </w:tc>
        <w:tc>
          <w:tcPr>
            <w:tcW w:w="433"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p>
        </w:tc>
        <w:tc>
          <w:tcPr>
            <w:tcW w:w="519"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r w:rsidRPr="00EE23BE">
              <w:rPr>
                <w:b/>
                <w:bCs/>
                <w:sz w:val="18"/>
                <w:szCs w:val="18"/>
                <w:lang w:val="en-US"/>
              </w:rPr>
              <w:t>2.11%</w:t>
            </w:r>
          </w:p>
        </w:tc>
        <w:tc>
          <w:tcPr>
            <w:tcW w:w="517" w:type="pct"/>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15" w:type="dxa"/>
              <w:left w:w="15" w:type="dxa"/>
              <w:bottom w:w="0" w:type="dxa"/>
              <w:right w:w="15" w:type="dxa"/>
            </w:tcMar>
            <w:vAlign w:val="bottom"/>
            <w:hideMark/>
          </w:tcPr>
          <w:p w:rsidR="00EE23BE" w:rsidRPr="00EE23BE" w:rsidRDefault="00EE23BE" w:rsidP="00245C25">
            <w:pPr>
              <w:spacing w:before="60" w:after="60" w:line="240" w:lineRule="auto"/>
              <w:jc w:val="center"/>
              <w:rPr>
                <w:sz w:val="18"/>
                <w:szCs w:val="18"/>
              </w:rPr>
            </w:pPr>
          </w:p>
        </w:tc>
      </w:tr>
    </w:tbl>
    <w:p w:rsidR="00EE23BE" w:rsidRDefault="00EE23BE" w:rsidP="002C0986"/>
    <w:p w:rsidR="00EE23BE" w:rsidRDefault="002F210F" w:rsidP="008903D3">
      <w:pPr>
        <w:pStyle w:val="Heading2"/>
      </w:pPr>
      <w:bookmarkStart w:id="5" w:name="_Toc46991977"/>
      <w:r>
        <w:t>3.3</w:t>
      </w:r>
      <w:r>
        <w:tab/>
      </w:r>
      <w:r w:rsidR="008903D3">
        <w:t>Berg</w:t>
      </w:r>
      <w:r w:rsidR="00233B7D">
        <w:t>rivier Municipality: Impact of C</w:t>
      </w:r>
      <w:r w:rsidR="008903D3">
        <w:t>ovid-19 on the economy of Bergrivier Municipality</w:t>
      </w:r>
      <w:bookmarkEnd w:id="5"/>
    </w:p>
    <w:p w:rsidR="00B220E1" w:rsidRDefault="00B220E1" w:rsidP="00520178">
      <w:pPr>
        <w:pStyle w:val="ListParagraph"/>
        <w:spacing w:before="120" w:after="120" w:line="360" w:lineRule="auto"/>
        <w:ind w:left="0"/>
        <w:jc w:val="both"/>
      </w:pPr>
      <w:r>
        <w:t>The tertiary sector contributed the most to GDPR in the Bergrivier</w:t>
      </w:r>
      <w:r w:rsidR="00233B7D">
        <w:t xml:space="preserve"> Municipal A</w:t>
      </w:r>
      <w:r>
        <w:t xml:space="preserve">rea with a combined value of R 1.9 billion in 2017.  However, the 2 individual sectors which drive the economy are the agriculture, forestry and fishing sector, which contributed R 1.3 billion in 2017, and the manufacturing sector, which contributed R </w:t>
      </w:r>
      <w:r>
        <w:lastRenderedPageBreak/>
        <w:t xml:space="preserve">1.0 billion in the same year.  The agriculture, forestry and fishing sector realised strong growth rates over a 10 year period of 4.4 % /annum.  This made the primary sector the main driver of growth in the municipal area.  Other sectors which experience strong growth rates (2008 – 2017) included finance, insurance, real estate and business service sector (3.7 %) and the construction sector (3.6 %).  The main source of job creation (2008 – 2017) was the tertiary sector which registered a net increase of 2 410 jobs.  This was largely in the wholesale and retail trade, catering and accommodation sector.  A negative job loss was however registered for the whole of the municipal area due to the shedding of jobs in the primary sector. </w:t>
      </w:r>
    </w:p>
    <w:p w:rsidR="00245C25" w:rsidRDefault="00245C25" w:rsidP="00520178">
      <w:pPr>
        <w:pStyle w:val="ListParagraph"/>
        <w:spacing w:before="120" w:after="120" w:line="360" w:lineRule="auto"/>
        <w:ind w:left="0"/>
        <w:jc w:val="both"/>
      </w:pPr>
      <w:r>
        <w:rPr>
          <w:noProof/>
          <w:lang w:eastAsia="en-ZA"/>
        </w:rPr>
        <w:drawing>
          <wp:anchor distT="0" distB="0" distL="114300" distR="114300" simplePos="0" relativeHeight="251666432" behindDoc="0" locked="0" layoutInCell="1" allowOverlap="1" wp14:anchorId="5008F3D5" wp14:editId="027F2386">
            <wp:simplePos x="0" y="0"/>
            <wp:positionH relativeFrom="margin">
              <wp:align>right</wp:align>
            </wp:positionH>
            <wp:positionV relativeFrom="paragraph">
              <wp:posOffset>529590</wp:posOffset>
            </wp:positionV>
            <wp:extent cx="6149975" cy="2573020"/>
            <wp:effectExtent l="19050" t="19050" r="22225" b="1778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68184.tmp"/>
                    <pic:cNvPicPr/>
                  </pic:nvPicPr>
                  <pic:blipFill rotWithShape="1">
                    <a:blip r:embed="rId12">
                      <a:extLst>
                        <a:ext uri="{28A0092B-C50C-407E-A947-70E740481C1C}">
                          <a14:useLocalDpi xmlns:a14="http://schemas.microsoft.com/office/drawing/2010/main" val="0"/>
                        </a:ext>
                      </a:extLst>
                    </a:blip>
                    <a:srcRect l="25243" t="36677" r="27016" b="23449"/>
                    <a:stretch/>
                  </pic:blipFill>
                  <pic:spPr bwMode="auto">
                    <a:xfrm>
                      <a:off x="0" y="0"/>
                      <a:ext cx="6157534" cy="25759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The figure below illustrates the breakdown of the sector’s contribution to the GDPR and the employment base of the Bergrivier Municipal Area:</w:t>
      </w:r>
    </w:p>
    <w:p w:rsidR="00B8181F" w:rsidRDefault="00B8181F" w:rsidP="00B8181F">
      <w:pPr>
        <w:spacing w:before="120" w:after="120" w:line="360" w:lineRule="auto"/>
        <w:jc w:val="both"/>
      </w:pPr>
      <w:r>
        <w:t>Sectors that are more labour intensive have a larger socio-economic impact when confronted with adverse economic conditions (such as the drought and Covid-19).  Job losses in such sectors negatively impact on the income of the employees which has the knock-on effect of lower demand for goods and services produced across all sectors.  The overall anticipated impact of the lockdown and consequent easing of restrictions on the economies of the Bergrivier municipal economy and employment is reflected in the following figure:</w:t>
      </w:r>
    </w:p>
    <w:p w:rsidR="00B8181F" w:rsidRPr="00B8181F" w:rsidRDefault="009703B1" w:rsidP="00B8181F">
      <w:pPr>
        <w:spacing w:before="120" w:after="120" w:line="360" w:lineRule="auto"/>
        <w:jc w:val="center"/>
        <w:rPr>
          <w:b/>
          <w:sz w:val="20"/>
        </w:rPr>
      </w:pPr>
      <w:r w:rsidRPr="00B8181F">
        <w:rPr>
          <w:b/>
          <w:noProof/>
          <w:sz w:val="20"/>
          <w:lang w:eastAsia="en-ZA"/>
        </w:rPr>
        <w:drawing>
          <wp:anchor distT="0" distB="0" distL="114300" distR="114300" simplePos="0" relativeHeight="251667456" behindDoc="0" locked="0" layoutInCell="1" allowOverlap="1" wp14:anchorId="65C9B57C" wp14:editId="06444578">
            <wp:simplePos x="0" y="0"/>
            <wp:positionH relativeFrom="margin">
              <wp:posOffset>102870</wp:posOffset>
            </wp:positionH>
            <wp:positionV relativeFrom="paragraph">
              <wp:posOffset>219710</wp:posOffset>
            </wp:positionV>
            <wp:extent cx="6128385" cy="2625725"/>
            <wp:effectExtent l="19050" t="19050" r="24765" b="2222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68C05E.tmp"/>
                    <pic:cNvPicPr/>
                  </pic:nvPicPr>
                  <pic:blipFill rotWithShape="1">
                    <a:blip r:embed="rId13">
                      <a:extLst>
                        <a:ext uri="{28A0092B-C50C-407E-A947-70E740481C1C}">
                          <a14:useLocalDpi xmlns:a14="http://schemas.microsoft.com/office/drawing/2010/main" val="0"/>
                        </a:ext>
                      </a:extLst>
                    </a:blip>
                    <a:srcRect l="26274" t="31894" r="27871" b="19926"/>
                    <a:stretch/>
                  </pic:blipFill>
                  <pic:spPr bwMode="auto">
                    <a:xfrm>
                      <a:off x="0" y="0"/>
                      <a:ext cx="6128385" cy="26257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181F" w:rsidRPr="00B8181F">
        <w:rPr>
          <w:b/>
          <w:sz w:val="20"/>
        </w:rPr>
        <w:t>GVA and Employment Forecast</w:t>
      </w:r>
    </w:p>
    <w:p w:rsidR="00B8181F" w:rsidRDefault="00B8181F" w:rsidP="009703B1">
      <w:pPr>
        <w:spacing w:before="120" w:after="120" w:line="360" w:lineRule="auto"/>
        <w:jc w:val="both"/>
      </w:pPr>
      <w:r>
        <w:lastRenderedPageBreak/>
        <w:t>The overall impact of Covid-19 and the resultant lockdown is likely to be harsh on the Bergrivier economy, with GVA contracting by 12.7 % by end of Year 1 after lockdown and 4.5 % contraction of employment.  In Year 2 post-Covid-19 will make a recovery, but not enough to get to pre-lockdown employment levels.</w:t>
      </w:r>
    </w:p>
    <w:p w:rsidR="001F3378" w:rsidRDefault="00520178" w:rsidP="009703B1">
      <w:pPr>
        <w:spacing w:before="120" w:after="120" w:line="360" w:lineRule="auto"/>
        <w:jc w:val="both"/>
      </w:pPr>
      <w:r>
        <w:t>The very essence of the impact of Covid-19 and the subsequent lockdown on the economy of Bergrivier Municipality can be summarized as follows:</w:t>
      </w:r>
    </w:p>
    <w:tbl>
      <w:tblPr>
        <w:tblW w:w="5000" w:type="pct"/>
        <w:tblCellMar>
          <w:left w:w="0" w:type="dxa"/>
          <w:right w:w="0" w:type="dxa"/>
        </w:tblCellMar>
        <w:tblLook w:val="0600" w:firstRow="0" w:lastRow="0" w:firstColumn="0" w:lastColumn="0" w:noHBand="1" w:noVBand="1"/>
      </w:tblPr>
      <w:tblGrid>
        <w:gridCol w:w="3293"/>
        <w:gridCol w:w="3010"/>
        <w:gridCol w:w="3439"/>
      </w:tblGrid>
      <w:tr w:rsidR="00520178" w:rsidRPr="002F210F" w:rsidTr="00245C25">
        <w:trPr>
          <w:trHeight w:val="397"/>
        </w:trPr>
        <w:tc>
          <w:tcPr>
            <w:tcW w:w="1690" w:type="pct"/>
            <w:tcBorders>
              <w:top w:val="single" w:sz="4" w:space="0" w:color="000000"/>
              <w:left w:val="single" w:sz="4" w:space="0" w:color="000000"/>
              <w:bottom w:val="single" w:sz="4" w:space="0" w:color="000000"/>
              <w:right w:val="single" w:sz="4" w:space="0" w:color="000000"/>
            </w:tcBorders>
            <w:shd w:val="clear" w:color="auto" w:fill="4472C4"/>
            <w:tcMar>
              <w:top w:w="15" w:type="dxa"/>
              <w:left w:w="15" w:type="dxa"/>
              <w:bottom w:w="0" w:type="dxa"/>
              <w:right w:w="15" w:type="dxa"/>
            </w:tcMar>
            <w:vAlign w:val="center"/>
            <w:hideMark/>
          </w:tcPr>
          <w:p w:rsidR="00B432DD" w:rsidRPr="002F210F" w:rsidRDefault="00B432DD" w:rsidP="00520178">
            <w:pPr>
              <w:pStyle w:val="ListParagraph"/>
              <w:jc w:val="center"/>
              <w:rPr>
                <w:color w:val="FFFFFF" w:themeColor="background1"/>
                <w:sz w:val="20"/>
              </w:rPr>
            </w:pPr>
          </w:p>
        </w:tc>
        <w:tc>
          <w:tcPr>
            <w:tcW w:w="1545" w:type="pct"/>
            <w:tcBorders>
              <w:top w:val="single" w:sz="4" w:space="0" w:color="000000"/>
              <w:left w:val="single" w:sz="4" w:space="0" w:color="000000"/>
              <w:bottom w:val="single" w:sz="4" w:space="0" w:color="000000"/>
              <w:right w:val="single" w:sz="4" w:space="0" w:color="auto"/>
            </w:tcBorders>
            <w:shd w:val="clear" w:color="auto" w:fill="4472C4"/>
            <w:tcMar>
              <w:top w:w="15" w:type="dxa"/>
              <w:left w:w="15" w:type="dxa"/>
              <w:bottom w:w="0" w:type="dxa"/>
              <w:right w:w="15" w:type="dxa"/>
            </w:tcMar>
            <w:vAlign w:val="center"/>
            <w:hideMark/>
          </w:tcPr>
          <w:p w:rsidR="00B432DD" w:rsidRPr="002F210F" w:rsidRDefault="00520178" w:rsidP="00520178">
            <w:pPr>
              <w:pStyle w:val="ListParagraph"/>
              <w:jc w:val="center"/>
              <w:rPr>
                <w:color w:val="FFFFFF" w:themeColor="background1"/>
                <w:sz w:val="20"/>
              </w:rPr>
            </w:pPr>
            <w:r w:rsidRPr="002F210F">
              <w:rPr>
                <w:b/>
                <w:bCs/>
                <w:color w:val="FFFFFF" w:themeColor="background1"/>
                <w:sz w:val="20"/>
              </w:rPr>
              <w:t>YEAR 1 POST C-19</w:t>
            </w:r>
          </w:p>
        </w:tc>
        <w:tc>
          <w:tcPr>
            <w:tcW w:w="1765" w:type="pct"/>
            <w:tcBorders>
              <w:top w:val="single" w:sz="4" w:space="0" w:color="auto"/>
              <w:left w:val="single" w:sz="4" w:space="0" w:color="auto"/>
              <w:bottom w:val="single" w:sz="4" w:space="0" w:color="auto"/>
              <w:right w:val="single" w:sz="4" w:space="0" w:color="auto"/>
            </w:tcBorders>
            <w:shd w:val="clear" w:color="auto" w:fill="4472C4"/>
            <w:tcMar>
              <w:top w:w="15" w:type="dxa"/>
              <w:left w:w="15" w:type="dxa"/>
              <w:bottom w:w="0" w:type="dxa"/>
              <w:right w:w="15" w:type="dxa"/>
            </w:tcMar>
            <w:vAlign w:val="center"/>
            <w:hideMark/>
          </w:tcPr>
          <w:p w:rsidR="00B432DD" w:rsidRPr="002F210F" w:rsidRDefault="00520178" w:rsidP="00520178">
            <w:pPr>
              <w:pStyle w:val="ListParagraph"/>
              <w:jc w:val="center"/>
              <w:rPr>
                <w:color w:val="FFFFFF" w:themeColor="background1"/>
                <w:sz w:val="20"/>
              </w:rPr>
            </w:pPr>
            <w:r w:rsidRPr="002F210F">
              <w:rPr>
                <w:b/>
                <w:bCs/>
                <w:color w:val="FFFFFF" w:themeColor="background1"/>
                <w:sz w:val="20"/>
              </w:rPr>
              <w:t>YEAR 2 POST C-19</w:t>
            </w:r>
          </w:p>
        </w:tc>
      </w:tr>
      <w:tr w:rsidR="00B432DD" w:rsidRPr="002F210F" w:rsidTr="00245C25">
        <w:trPr>
          <w:trHeight w:val="20"/>
        </w:trPr>
        <w:tc>
          <w:tcPr>
            <w:tcW w:w="169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432DD" w:rsidRPr="002F210F" w:rsidRDefault="00B432DD" w:rsidP="002F210F">
            <w:pPr>
              <w:pStyle w:val="ListParagraph"/>
              <w:jc w:val="center"/>
              <w:rPr>
                <w:sz w:val="20"/>
              </w:rPr>
            </w:pPr>
            <w:r w:rsidRPr="002F210F">
              <w:rPr>
                <w:b/>
                <w:bCs/>
                <w:sz w:val="20"/>
              </w:rPr>
              <w:t>GVA</w:t>
            </w:r>
          </w:p>
        </w:tc>
        <w:tc>
          <w:tcPr>
            <w:tcW w:w="1545" w:type="pct"/>
            <w:tcBorders>
              <w:top w:val="single" w:sz="4" w:space="0" w:color="000000"/>
              <w:left w:val="single" w:sz="4" w:space="0" w:color="000000"/>
              <w:bottom w:val="single" w:sz="4" w:space="0" w:color="000000"/>
              <w:right w:val="single" w:sz="4" w:space="0" w:color="auto"/>
            </w:tcBorders>
            <w:shd w:val="clear" w:color="auto" w:fill="BDD6EE" w:themeFill="accent1" w:themeFillTint="66"/>
            <w:tcMar>
              <w:top w:w="15" w:type="dxa"/>
              <w:left w:w="15" w:type="dxa"/>
              <w:bottom w:w="0" w:type="dxa"/>
              <w:right w:w="15" w:type="dxa"/>
            </w:tcMar>
            <w:vAlign w:val="center"/>
            <w:hideMark/>
          </w:tcPr>
          <w:p w:rsidR="00B432DD" w:rsidRPr="002F210F" w:rsidRDefault="00B432DD" w:rsidP="002F210F">
            <w:pPr>
              <w:pStyle w:val="ListParagraph"/>
              <w:jc w:val="center"/>
              <w:rPr>
                <w:sz w:val="20"/>
              </w:rPr>
            </w:pPr>
            <w:r w:rsidRPr="002F210F">
              <w:rPr>
                <w:b/>
                <w:bCs/>
                <w:sz w:val="20"/>
              </w:rPr>
              <w:t>-12.7%</w:t>
            </w:r>
          </w:p>
        </w:tc>
        <w:tc>
          <w:tcPr>
            <w:tcW w:w="1765" w:type="pct"/>
            <w:tcBorders>
              <w:top w:val="single" w:sz="4" w:space="0" w:color="auto"/>
              <w:left w:val="single" w:sz="4" w:space="0" w:color="auto"/>
              <w:bottom w:val="single" w:sz="4" w:space="0" w:color="auto"/>
              <w:right w:val="single" w:sz="4" w:space="0" w:color="auto"/>
            </w:tcBorders>
            <w:shd w:val="clear" w:color="auto" w:fill="BDD6EE" w:themeFill="accent1" w:themeFillTint="66"/>
            <w:tcMar>
              <w:top w:w="15" w:type="dxa"/>
              <w:left w:w="15" w:type="dxa"/>
              <w:bottom w:w="0" w:type="dxa"/>
              <w:right w:w="15" w:type="dxa"/>
            </w:tcMar>
            <w:vAlign w:val="bottom"/>
            <w:hideMark/>
          </w:tcPr>
          <w:p w:rsidR="00B432DD" w:rsidRPr="002F210F" w:rsidRDefault="00B432DD" w:rsidP="009052BF">
            <w:pPr>
              <w:pStyle w:val="ListParagraph"/>
              <w:jc w:val="center"/>
              <w:rPr>
                <w:sz w:val="20"/>
              </w:rPr>
            </w:pPr>
            <w:r w:rsidRPr="002F210F">
              <w:rPr>
                <w:b/>
                <w:bCs/>
                <w:sz w:val="20"/>
              </w:rPr>
              <w:t>9.0%</w:t>
            </w:r>
          </w:p>
        </w:tc>
      </w:tr>
      <w:tr w:rsidR="00B432DD" w:rsidRPr="002F210F" w:rsidTr="00245C25">
        <w:trPr>
          <w:trHeight w:val="20"/>
        </w:trPr>
        <w:tc>
          <w:tcPr>
            <w:tcW w:w="169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432DD" w:rsidRPr="002F210F" w:rsidRDefault="00B432DD" w:rsidP="002F210F">
            <w:pPr>
              <w:pStyle w:val="ListParagraph"/>
              <w:jc w:val="center"/>
              <w:rPr>
                <w:sz w:val="20"/>
              </w:rPr>
            </w:pPr>
            <w:r w:rsidRPr="002F210F">
              <w:rPr>
                <w:b/>
                <w:bCs/>
                <w:sz w:val="20"/>
              </w:rPr>
              <w:t>Employment</w:t>
            </w:r>
          </w:p>
        </w:tc>
        <w:tc>
          <w:tcPr>
            <w:tcW w:w="1545" w:type="pct"/>
            <w:tcBorders>
              <w:top w:val="single" w:sz="4" w:space="0" w:color="000000"/>
              <w:left w:val="single" w:sz="4" w:space="0" w:color="000000"/>
              <w:bottom w:val="single" w:sz="4" w:space="0" w:color="000000"/>
              <w:right w:val="single" w:sz="4" w:space="0" w:color="auto"/>
            </w:tcBorders>
            <w:shd w:val="clear" w:color="auto" w:fill="BDD6EE" w:themeFill="accent1" w:themeFillTint="66"/>
            <w:tcMar>
              <w:top w:w="15" w:type="dxa"/>
              <w:left w:w="15" w:type="dxa"/>
              <w:bottom w:w="0" w:type="dxa"/>
              <w:right w:w="15" w:type="dxa"/>
            </w:tcMar>
            <w:vAlign w:val="center"/>
            <w:hideMark/>
          </w:tcPr>
          <w:p w:rsidR="00B432DD" w:rsidRPr="002F210F" w:rsidRDefault="00B432DD" w:rsidP="002F210F">
            <w:pPr>
              <w:pStyle w:val="ListParagraph"/>
              <w:jc w:val="center"/>
              <w:rPr>
                <w:sz w:val="20"/>
              </w:rPr>
            </w:pPr>
            <w:r w:rsidRPr="002F210F">
              <w:rPr>
                <w:b/>
                <w:bCs/>
                <w:sz w:val="20"/>
              </w:rPr>
              <w:t>-4.5%</w:t>
            </w:r>
          </w:p>
        </w:tc>
        <w:tc>
          <w:tcPr>
            <w:tcW w:w="1765" w:type="pct"/>
            <w:tcBorders>
              <w:top w:val="single" w:sz="4" w:space="0" w:color="auto"/>
              <w:left w:val="single" w:sz="4" w:space="0" w:color="auto"/>
              <w:bottom w:val="single" w:sz="4" w:space="0" w:color="auto"/>
              <w:right w:val="single" w:sz="4" w:space="0" w:color="auto"/>
            </w:tcBorders>
            <w:shd w:val="clear" w:color="auto" w:fill="BDD6EE" w:themeFill="accent1" w:themeFillTint="66"/>
            <w:tcMar>
              <w:top w:w="15" w:type="dxa"/>
              <w:left w:w="15" w:type="dxa"/>
              <w:bottom w:w="0" w:type="dxa"/>
              <w:right w:w="15" w:type="dxa"/>
            </w:tcMar>
            <w:vAlign w:val="bottom"/>
            <w:hideMark/>
          </w:tcPr>
          <w:p w:rsidR="00B432DD" w:rsidRPr="002F210F" w:rsidRDefault="00B432DD" w:rsidP="009052BF">
            <w:pPr>
              <w:pStyle w:val="ListParagraph"/>
              <w:jc w:val="center"/>
              <w:rPr>
                <w:sz w:val="20"/>
              </w:rPr>
            </w:pPr>
            <w:r w:rsidRPr="002F210F">
              <w:rPr>
                <w:b/>
                <w:bCs/>
                <w:sz w:val="20"/>
              </w:rPr>
              <w:t>3.6%</w:t>
            </w:r>
          </w:p>
        </w:tc>
      </w:tr>
    </w:tbl>
    <w:p w:rsidR="00BA4033" w:rsidRDefault="00BA4033" w:rsidP="00BA4033">
      <w:pPr>
        <w:spacing w:before="120" w:after="120" w:line="360" w:lineRule="auto"/>
        <w:jc w:val="both"/>
      </w:pPr>
      <w:r>
        <w:t>The following tables provides firstly an overview of the impact of the lockdown on the GVA of Bergrivier Municipal Area and secondly in terms of job losses per sector:</w:t>
      </w:r>
    </w:p>
    <w:tbl>
      <w:tblPr>
        <w:tblW w:w="5005" w:type="pct"/>
        <w:tblInd w:w="-20" w:type="dxa"/>
        <w:tblLayout w:type="fixed"/>
        <w:tblCellMar>
          <w:left w:w="0" w:type="dxa"/>
          <w:right w:w="0" w:type="dxa"/>
        </w:tblCellMar>
        <w:tblLook w:val="0600" w:firstRow="0" w:lastRow="0" w:firstColumn="0" w:lastColumn="0" w:noHBand="1" w:noVBand="1"/>
      </w:tblPr>
      <w:tblGrid>
        <w:gridCol w:w="1172"/>
        <w:gridCol w:w="12"/>
        <w:gridCol w:w="977"/>
        <w:gridCol w:w="8"/>
        <w:gridCol w:w="858"/>
        <w:gridCol w:w="1004"/>
        <w:gridCol w:w="1149"/>
        <w:gridCol w:w="1147"/>
        <w:gridCol w:w="1149"/>
        <w:gridCol w:w="1147"/>
        <w:gridCol w:w="1123"/>
        <w:gridCol w:w="6"/>
      </w:tblGrid>
      <w:tr w:rsidR="00F8376D" w:rsidRPr="00A46F94" w:rsidTr="00245C25">
        <w:trPr>
          <w:gridAfter w:val="1"/>
          <w:wAfter w:w="3" w:type="pct"/>
          <w:trHeight w:val="680"/>
          <w:tblHeader/>
        </w:trPr>
        <w:tc>
          <w:tcPr>
            <w:tcW w:w="607" w:type="pct"/>
            <w:gridSpan w:val="2"/>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bottom"/>
            <w:hideMark/>
          </w:tcPr>
          <w:p w:rsidR="00F8376D" w:rsidRPr="00A46F94" w:rsidRDefault="00F8376D" w:rsidP="00F8376D">
            <w:pPr>
              <w:pStyle w:val="ListParagraph"/>
              <w:jc w:val="both"/>
              <w:rPr>
                <w:sz w:val="18"/>
                <w:szCs w:val="18"/>
              </w:rPr>
            </w:pPr>
            <w:r w:rsidRPr="00A46F94">
              <w:rPr>
                <w:b/>
                <w:bCs/>
                <w:sz w:val="18"/>
                <w:szCs w:val="18"/>
              </w:rPr>
              <w:t> </w:t>
            </w:r>
          </w:p>
        </w:tc>
        <w:tc>
          <w:tcPr>
            <w:tcW w:w="505" w:type="pct"/>
            <w:gridSpan w:val="2"/>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4E422F" w:rsidP="004E422F">
            <w:pPr>
              <w:pStyle w:val="ListParagraph"/>
              <w:ind w:left="0"/>
              <w:jc w:val="center"/>
              <w:rPr>
                <w:sz w:val="18"/>
                <w:szCs w:val="18"/>
              </w:rPr>
            </w:pPr>
            <w:r w:rsidRPr="004E422F">
              <w:rPr>
                <w:b/>
                <w:bCs/>
                <w:color w:val="FFFFFF" w:themeColor="background1"/>
                <w:sz w:val="18"/>
                <w:szCs w:val="18"/>
              </w:rPr>
              <w:t>TOTAL GVA IN 2019</w:t>
            </w:r>
          </w:p>
        </w:tc>
        <w:tc>
          <w:tcPr>
            <w:tcW w:w="440"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4E422F" w:rsidP="004E422F">
            <w:pPr>
              <w:pStyle w:val="ListParagraph"/>
              <w:ind w:left="0"/>
              <w:jc w:val="center"/>
              <w:rPr>
                <w:sz w:val="18"/>
                <w:szCs w:val="18"/>
              </w:rPr>
            </w:pPr>
            <w:r w:rsidRPr="004E422F">
              <w:rPr>
                <w:b/>
                <w:bCs/>
                <w:color w:val="FFFFFF" w:themeColor="background1"/>
                <w:sz w:val="18"/>
                <w:szCs w:val="18"/>
                <w:lang w:val="en-US"/>
              </w:rPr>
              <w:t>POST 1-2 MONTHS GVA LOSS</w:t>
            </w:r>
          </w:p>
        </w:tc>
        <w:tc>
          <w:tcPr>
            <w:tcW w:w="515"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F8376D" w:rsidP="00F8376D">
            <w:pPr>
              <w:pStyle w:val="ListParagraph"/>
              <w:ind w:left="0"/>
              <w:jc w:val="center"/>
              <w:rPr>
                <w:sz w:val="18"/>
                <w:szCs w:val="18"/>
              </w:rPr>
            </w:pPr>
            <w:r w:rsidRPr="00A46F94">
              <w:rPr>
                <w:b/>
                <w:bCs/>
                <w:color w:val="FFFFFF" w:themeColor="background1"/>
                <w:sz w:val="18"/>
                <w:szCs w:val="18"/>
                <w:lang w:val="en-US"/>
              </w:rPr>
              <w:t>POST 3-6 MONTHS  GVA LOSS</w:t>
            </w:r>
          </w:p>
        </w:tc>
        <w:tc>
          <w:tcPr>
            <w:tcW w:w="589"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F8376D" w:rsidP="00F8376D">
            <w:pPr>
              <w:pStyle w:val="ListParagraph"/>
              <w:ind w:left="0"/>
              <w:jc w:val="center"/>
              <w:rPr>
                <w:sz w:val="18"/>
                <w:szCs w:val="18"/>
              </w:rPr>
            </w:pPr>
            <w:r w:rsidRPr="00A46F94">
              <w:rPr>
                <w:b/>
                <w:bCs/>
                <w:color w:val="FFFFFF" w:themeColor="background1"/>
                <w:sz w:val="18"/>
                <w:szCs w:val="18"/>
                <w:lang w:val="en-US"/>
              </w:rPr>
              <w:t>POST 7-12 MONTHS GVA LOSS</w:t>
            </w:r>
          </w:p>
        </w:tc>
        <w:tc>
          <w:tcPr>
            <w:tcW w:w="588"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F8376D" w:rsidP="00F8376D">
            <w:pPr>
              <w:pStyle w:val="ListParagraph"/>
              <w:ind w:left="0"/>
              <w:jc w:val="center"/>
              <w:rPr>
                <w:sz w:val="18"/>
                <w:szCs w:val="18"/>
              </w:rPr>
            </w:pPr>
            <w:r w:rsidRPr="00A46F94">
              <w:rPr>
                <w:b/>
                <w:bCs/>
                <w:color w:val="FFFFFF" w:themeColor="background1"/>
                <w:sz w:val="18"/>
                <w:szCs w:val="18"/>
              </w:rPr>
              <w:t>NET GVA LOSS</w:t>
            </w:r>
          </w:p>
        </w:tc>
        <w:tc>
          <w:tcPr>
            <w:tcW w:w="589"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F8376D" w:rsidP="00F8376D">
            <w:pPr>
              <w:pStyle w:val="ListParagraph"/>
              <w:ind w:left="0"/>
              <w:jc w:val="center"/>
              <w:rPr>
                <w:sz w:val="18"/>
                <w:szCs w:val="18"/>
              </w:rPr>
            </w:pPr>
            <w:r w:rsidRPr="00A46F94">
              <w:rPr>
                <w:b/>
                <w:bCs/>
                <w:color w:val="FFFFFF" w:themeColor="background1"/>
                <w:sz w:val="18"/>
                <w:szCs w:val="18"/>
                <w:lang w:val="en-US"/>
              </w:rPr>
              <w:t>NET LOSS AS A % OF SUB SECTOR</w:t>
            </w:r>
          </w:p>
        </w:tc>
        <w:tc>
          <w:tcPr>
            <w:tcW w:w="588"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F8376D" w:rsidP="00F8376D">
            <w:pPr>
              <w:pStyle w:val="ListParagraph"/>
              <w:ind w:left="0"/>
              <w:jc w:val="center"/>
              <w:rPr>
                <w:sz w:val="18"/>
                <w:szCs w:val="18"/>
              </w:rPr>
            </w:pPr>
            <w:r w:rsidRPr="00A46F94">
              <w:rPr>
                <w:b/>
                <w:bCs/>
                <w:color w:val="FFFFFF" w:themeColor="background1"/>
                <w:sz w:val="18"/>
                <w:szCs w:val="18"/>
                <w:lang w:val="en-US"/>
              </w:rPr>
              <w:t>NET LOSS AS A % OF TOTAL GVA</w:t>
            </w:r>
          </w:p>
        </w:tc>
        <w:tc>
          <w:tcPr>
            <w:tcW w:w="576"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F8376D" w:rsidRPr="00A46F94" w:rsidRDefault="00F8376D" w:rsidP="00F8376D">
            <w:pPr>
              <w:pStyle w:val="ListParagraph"/>
              <w:ind w:left="0"/>
              <w:jc w:val="center"/>
              <w:rPr>
                <w:sz w:val="18"/>
                <w:szCs w:val="18"/>
              </w:rPr>
            </w:pPr>
            <w:r w:rsidRPr="00A46F94">
              <w:rPr>
                <w:b/>
                <w:bCs/>
                <w:color w:val="FFFFFF" w:themeColor="background1"/>
                <w:sz w:val="18"/>
                <w:szCs w:val="18"/>
                <w:lang w:val="en-US"/>
              </w:rPr>
              <w:t>POST 13 - 24 MONTHS GVA LOSS</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Tourism</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111,932</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13,534</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35,818</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44,773</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94,125</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84.1%</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1.9%</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55,966</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Agriculture</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1,043,840</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36,047</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34,795</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11,444</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82,286</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7.9%</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1.7%</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10,512</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Mining</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8,014</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792</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668</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152</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1,612</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20.1%</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0.0%</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481</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Manufacturing</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846,774</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37,696</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49,807</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22,832</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110,335</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13.0%</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2.2%</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51,444</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Electricity</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69,780</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949</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1,595</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698</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3,241</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4.6%</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0.1%</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3,489</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Construction</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198,274</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14,871</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26,351</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39,494</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80,715</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40.7%</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1.6%</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19,827</w:t>
            </w:r>
          </w:p>
        </w:tc>
      </w:tr>
      <w:tr w:rsidR="00F8376D" w:rsidRPr="00A46F94"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A46F94" w:rsidRDefault="00F8376D" w:rsidP="004E422F">
            <w:pPr>
              <w:pStyle w:val="ListParagraph"/>
              <w:ind w:left="0"/>
              <w:rPr>
                <w:sz w:val="18"/>
                <w:szCs w:val="18"/>
              </w:rPr>
            </w:pPr>
            <w:r w:rsidRPr="00A46F94">
              <w:rPr>
                <w:bCs/>
                <w:sz w:val="18"/>
                <w:szCs w:val="18"/>
              </w:rPr>
              <w:t>Trade</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1,069,178</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51,257</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46,737</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43,393</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141,386</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13.2%</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2.8%</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A46F94" w:rsidRDefault="00F8376D" w:rsidP="004E422F">
            <w:pPr>
              <w:pStyle w:val="ListParagraph"/>
              <w:ind w:left="0"/>
              <w:jc w:val="center"/>
              <w:rPr>
                <w:sz w:val="18"/>
                <w:szCs w:val="18"/>
              </w:rPr>
            </w:pPr>
            <w:r w:rsidRPr="00A46F94">
              <w:rPr>
                <w:bCs/>
                <w:sz w:val="18"/>
                <w:szCs w:val="18"/>
                <w:lang w:val="en-US"/>
              </w:rPr>
              <w:t>61,734</w:t>
            </w:r>
          </w:p>
        </w:tc>
      </w:tr>
      <w:tr w:rsidR="00F8376D" w:rsidRPr="004E422F"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4E422F" w:rsidRDefault="00F8376D" w:rsidP="004E422F">
            <w:pPr>
              <w:pStyle w:val="ListParagraph"/>
              <w:ind w:left="0"/>
              <w:rPr>
                <w:sz w:val="18"/>
                <w:szCs w:val="18"/>
              </w:rPr>
            </w:pPr>
            <w:r w:rsidRPr="004E422F">
              <w:rPr>
                <w:bCs/>
                <w:sz w:val="18"/>
                <w:szCs w:val="18"/>
              </w:rPr>
              <w:t>Transport (incl telecomms)</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273,522</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19,382</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10,227</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12,135</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41,744</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15.3%</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0.8%</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4E422F" w:rsidRDefault="00F8376D" w:rsidP="004E422F">
            <w:pPr>
              <w:pStyle w:val="ListParagraph"/>
              <w:ind w:left="0"/>
              <w:jc w:val="center"/>
              <w:rPr>
                <w:sz w:val="18"/>
                <w:szCs w:val="18"/>
              </w:rPr>
            </w:pPr>
            <w:r w:rsidRPr="004E422F">
              <w:rPr>
                <w:bCs/>
                <w:sz w:val="18"/>
                <w:szCs w:val="18"/>
                <w:lang w:val="en-US"/>
              </w:rPr>
              <w:t>6,267</w:t>
            </w:r>
          </w:p>
        </w:tc>
      </w:tr>
      <w:tr w:rsidR="00F8376D" w:rsidRPr="00F8376D" w:rsidTr="00BA4033">
        <w:trPr>
          <w:trHeight w:val="979"/>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2F210F" w:rsidRDefault="00F8376D" w:rsidP="002F210F">
            <w:pPr>
              <w:pStyle w:val="ListParagraph"/>
              <w:ind w:left="0"/>
              <w:rPr>
                <w:sz w:val="18"/>
                <w:szCs w:val="18"/>
              </w:rPr>
            </w:pPr>
            <w:r w:rsidRPr="002F210F">
              <w:rPr>
                <w:bCs/>
                <w:sz w:val="18"/>
                <w:szCs w:val="18"/>
                <w:lang w:val="en-US"/>
              </w:rPr>
              <w:t>Finance (finance, insurance, real estate and other services)</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572,021</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10,000</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9,534</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11,663</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31,196</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5.5%</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0.6%</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23,689</w:t>
            </w:r>
          </w:p>
        </w:tc>
      </w:tr>
      <w:tr w:rsidR="00F8376D" w:rsidRPr="00F8376D" w:rsidTr="00BA4033">
        <w:trPr>
          <w:trHeight w:val="979"/>
        </w:trPr>
        <w:tc>
          <w:tcPr>
            <w:tcW w:w="60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F8376D" w:rsidRPr="002F210F" w:rsidRDefault="00F8376D" w:rsidP="002F210F">
            <w:pPr>
              <w:pStyle w:val="ListParagraph"/>
              <w:ind w:left="0"/>
              <w:rPr>
                <w:sz w:val="18"/>
                <w:szCs w:val="18"/>
              </w:rPr>
            </w:pPr>
            <w:r w:rsidRPr="002F210F">
              <w:rPr>
                <w:bCs/>
                <w:sz w:val="18"/>
                <w:szCs w:val="18"/>
                <w:lang w:val="en-US"/>
              </w:rPr>
              <w:t xml:space="preserve">Community services (Public admin, </w:t>
            </w:r>
            <w:r w:rsidR="00F038D5" w:rsidRPr="002F210F">
              <w:rPr>
                <w:bCs/>
                <w:sz w:val="18"/>
                <w:szCs w:val="18"/>
                <w:lang w:val="en-US"/>
              </w:rPr>
              <w:t>defense</w:t>
            </w:r>
            <w:r w:rsidRPr="002F210F">
              <w:rPr>
                <w:bCs/>
                <w:sz w:val="18"/>
                <w:szCs w:val="18"/>
                <w:lang w:val="en-US"/>
              </w:rPr>
              <w:t>, health &amp; social work, other community services)</w:t>
            </w: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789,054</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8,949</w:t>
            </w:r>
          </w:p>
        </w:tc>
        <w:tc>
          <w:tcPr>
            <w:tcW w:w="515"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17,804</w:t>
            </w:r>
          </w:p>
        </w:tc>
        <w:tc>
          <w:tcPr>
            <w:tcW w:w="589"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17,348</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44,101</w:t>
            </w:r>
          </w:p>
        </w:tc>
        <w:tc>
          <w:tcPr>
            <w:tcW w:w="589"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5.6%</w:t>
            </w:r>
          </w:p>
        </w:tc>
        <w:tc>
          <w:tcPr>
            <w:tcW w:w="588"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0.9%</w:t>
            </w: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F8376D" w:rsidRPr="002F210F" w:rsidRDefault="00F8376D" w:rsidP="002F210F">
            <w:pPr>
              <w:pStyle w:val="ListParagraph"/>
              <w:ind w:left="0"/>
              <w:jc w:val="center"/>
              <w:rPr>
                <w:sz w:val="18"/>
                <w:szCs w:val="18"/>
              </w:rPr>
            </w:pPr>
            <w:r w:rsidRPr="002F210F">
              <w:rPr>
                <w:bCs/>
                <w:sz w:val="18"/>
                <w:szCs w:val="18"/>
                <w:lang w:val="en-US"/>
              </w:rPr>
              <w:t>4,217</w:t>
            </w:r>
          </w:p>
        </w:tc>
      </w:tr>
      <w:tr w:rsidR="002F210F" w:rsidRPr="00F8376D"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4,982,387</w:t>
            </w: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193,476</w:t>
            </w:r>
          </w:p>
        </w:tc>
        <w:tc>
          <w:tcPr>
            <w:tcW w:w="51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233,335</w:t>
            </w:r>
          </w:p>
        </w:tc>
        <w:tc>
          <w:tcPr>
            <w:tcW w:w="58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203,931</w:t>
            </w:r>
          </w:p>
        </w:tc>
        <w:tc>
          <w:tcPr>
            <w:tcW w:w="588"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630,742</w:t>
            </w:r>
          </w:p>
        </w:tc>
        <w:tc>
          <w:tcPr>
            <w:tcW w:w="58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p>
        </w:tc>
        <w:tc>
          <w:tcPr>
            <w:tcW w:w="588"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237,626</w:t>
            </w:r>
          </w:p>
        </w:tc>
      </w:tr>
      <w:tr w:rsidR="002F210F" w:rsidRPr="00F8376D" w:rsidTr="00BA4033">
        <w:trPr>
          <w:trHeight w:val="490"/>
        </w:trPr>
        <w:tc>
          <w:tcPr>
            <w:tcW w:w="60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jc w:val="center"/>
              <w:rPr>
                <w:b/>
                <w:sz w:val="18"/>
                <w:szCs w:val="18"/>
              </w:rPr>
            </w:pPr>
          </w:p>
        </w:tc>
        <w:tc>
          <w:tcPr>
            <w:tcW w:w="507"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jc w:val="center"/>
              <w:rPr>
                <w:b/>
                <w:sz w:val="18"/>
                <w:szCs w:val="18"/>
              </w:rPr>
            </w:pPr>
          </w:p>
        </w:tc>
        <w:tc>
          <w:tcPr>
            <w:tcW w:w="444"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3.88%</w:t>
            </w:r>
          </w:p>
        </w:tc>
        <w:tc>
          <w:tcPr>
            <w:tcW w:w="515"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4.68%</w:t>
            </w:r>
          </w:p>
        </w:tc>
        <w:tc>
          <w:tcPr>
            <w:tcW w:w="58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4.09%</w:t>
            </w:r>
          </w:p>
        </w:tc>
        <w:tc>
          <w:tcPr>
            <w:tcW w:w="588"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12.66%</w:t>
            </w:r>
          </w:p>
        </w:tc>
        <w:tc>
          <w:tcPr>
            <w:tcW w:w="589"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p>
        </w:tc>
        <w:tc>
          <w:tcPr>
            <w:tcW w:w="588"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p>
        </w:tc>
        <w:tc>
          <w:tcPr>
            <w:tcW w:w="579" w:type="pct"/>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F8376D" w:rsidRPr="002F210F" w:rsidRDefault="00F8376D" w:rsidP="002F210F">
            <w:pPr>
              <w:pStyle w:val="ListParagraph"/>
              <w:ind w:left="0"/>
              <w:jc w:val="center"/>
              <w:rPr>
                <w:b/>
                <w:sz w:val="18"/>
                <w:szCs w:val="18"/>
              </w:rPr>
            </w:pPr>
            <w:r w:rsidRPr="002F210F">
              <w:rPr>
                <w:b/>
                <w:bCs/>
                <w:sz w:val="18"/>
                <w:szCs w:val="18"/>
                <w:lang w:val="en-US"/>
              </w:rPr>
              <w:t>4.77%</w:t>
            </w:r>
          </w:p>
        </w:tc>
      </w:tr>
    </w:tbl>
    <w:p w:rsidR="00B432DD" w:rsidRDefault="00B432DD" w:rsidP="00FA62BF">
      <w:pPr>
        <w:pStyle w:val="ListParagraph"/>
        <w:ind w:left="0"/>
        <w:jc w:val="both"/>
      </w:pPr>
    </w:p>
    <w:tbl>
      <w:tblPr>
        <w:tblW w:w="5000" w:type="pct"/>
        <w:tblLayout w:type="fixed"/>
        <w:tblCellMar>
          <w:left w:w="0" w:type="dxa"/>
          <w:right w:w="0" w:type="dxa"/>
        </w:tblCellMar>
        <w:tblLook w:val="0600" w:firstRow="0" w:lastRow="0" w:firstColumn="0" w:lastColumn="0" w:noHBand="1" w:noVBand="1"/>
      </w:tblPr>
      <w:tblGrid>
        <w:gridCol w:w="1095"/>
        <w:gridCol w:w="830"/>
        <w:gridCol w:w="937"/>
        <w:gridCol w:w="1005"/>
        <w:gridCol w:w="1007"/>
        <w:gridCol w:w="963"/>
        <w:gridCol w:w="1072"/>
        <w:gridCol w:w="1072"/>
        <w:gridCol w:w="908"/>
        <w:gridCol w:w="853"/>
      </w:tblGrid>
      <w:tr w:rsidR="009C30AB" w:rsidRPr="00BA4033" w:rsidTr="009052BF">
        <w:trPr>
          <w:trHeight w:val="1191"/>
          <w:tblHeader/>
        </w:trPr>
        <w:tc>
          <w:tcPr>
            <w:tcW w:w="562"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vAlign w:val="bottom"/>
            <w:hideMark/>
          </w:tcPr>
          <w:p w:rsidR="00BA4033" w:rsidRPr="00BA4033" w:rsidRDefault="00BA4033" w:rsidP="00BA4033">
            <w:pPr>
              <w:pStyle w:val="ListParagraph"/>
              <w:jc w:val="both"/>
            </w:pPr>
            <w:r w:rsidRPr="00BA4033">
              <w:rPr>
                <w:b/>
                <w:bCs/>
              </w:rPr>
              <w:lastRenderedPageBreak/>
              <w:t> </w:t>
            </w:r>
          </w:p>
        </w:tc>
        <w:tc>
          <w:tcPr>
            <w:tcW w:w="426"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rPr>
              <w:t>TOTAL EMPLOYED IN 2019</w:t>
            </w:r>
          </w:p>
        </w:tc>
        <w:tc>
          <w:tcPr>
            <w:tcW w:w="481"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lang w:val="en-US"/>
              </w:rPr>
              <w:t>POST 1-2 MONTHS EMPLOY</w:t>
            </w:r>
            <w:r w:rsidR="009C30AB">
              <w:rPr>
                <w:b/>
                <w:bCs/>
                <w:color w:val="FFFFFF" w:themeColor="background1"/>
                <w:sz w:val="18"/>
                <w:lang w:val="en-US"/>
              </w:rPr>
              <w:t>-</w:t>
            </w:r>
            <w:r w:rsidRPr="00BA4033">
              <w:rPr>
                <w:b/>
                <w:bCs/>
                <w:color w:val="FFFFFF" w:themeColor="background1"/>
                <w:sz w:val="18"/>
                <w:lang w:val="en-US"/>
              </w:rPr>
              <w:t>MENT LOSS</w:t>
            </w:r>
          </w:p>
        </w:tc>
        <w:tc>
          <w:tcPr>
            <w:tcW w:w="516"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lang w:val="en-US"/>
              </w:rPr>
              <w:t>POST 3-6 MONTHS  EMPLOY</w:t>
            </w:r>
            <w:r w:rsidR="009C30AB">
              <w:rPr>
                <w:b/>
                <w:bCs/>
                <w:color w:val="FFFFFF" w:themeColor="background1"/>
                <w:sz w:val="18"/>
                <w:lang w:val="en-US"/>
              </w:rPr>
              <w:t>-</w:t>
            </w:r>
            <w:r w:rsidRPr="00BA4033">
              <w:rPr>
                <w:b/>
                <w:bCs/>
                <w:color w:val="FFFFFF" w:themeColor="background1"/>
                <w:sz w:val="18"/>
                <w:lang w:val="en-US"/>
              </w:rPr>
              <w:t>MENT LOSS</w:t>
            </w:r>
          </w:p>
        </w:tc>
        <w:tc>
          <w:tcPr>
            <w:tcW w:w="517"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rPr>
              <w:t>POST 7-12 MONTHS  EMPLOY</w:t>
            </w:r>
            <w:r w:rsidR="009C30AB">
              <w:rPr>
                <w:b/>
                <w:bCs/>
                <w:color w:val="FFFFFF" w:themeColor="background1"/>
                <w:sz w:val="18"/>
              </w:rPr>
              <w:t>-</w:t>
            </w:r>
            <w:r w:rsidRPr="00BA4033">
              <w:rPr>
                <w:b/>
                <w:bCs/>
                <w:color w:val="FFFFFF" w:themeColor="background1"/>
                <w:sz w:val="18"/>
              </w:rPr>
              <w:t>MENT</w:t>
            </w:r>
          </w:p>
        </w:tc>
        <w:tc>
          <w:tcPr>
            <w:tcW w:w="494"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rPr>
              <w:t>NET EMPLOY</w:t>
            </w:r>
            <w:r w:rsidR="009C30AB">
              <w:rPr>
                <w:b/>
                <w:bCs/>
                <w:color w:val="FFFFFF" w:themeColor="background1"/>
                <w:sz w:val="18"/>
              </w:rPr>
              <w:t>-</w:t>
            </w:r>
            <w:r w:rsidRPr="00BA4033">
              <w:rPr>
                <w:b/>
                <w:bCs/>
                <w:color w:val="FFFFFF" w:themeColor="background1"/>
                <w:sz w:val="18"/>
              </w:rPr>
              <w:t>MENT LOSSES</w:t>
            </w:r>
          </w:p>
        </w:tc>
        <w:tc>
          <w:tcPr>
            <w:tcW w:w="550"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lang w:val="en-US"/>
              </w:rPr>
              <w:t>NET EMPLOY</w:t>
            </w:r>
            <w:r w:rsidR="009C30AB">
              <w:rPr>
                <w:b/>
                <w:bCs/>
                <w:color w:val="FFFFFF" w:themeColor="background1"/>
                <w:sz w:val="18"/>
                <w:lang w:val="en-US"/>
              </w:rPr>
              <w:t>-</w:t>
            </w:r>
            <w:r w:rsidRPr="00BA4033">
              <w:rPr>
                <w:b/>
                <w:bCs/>
                <w:color w:val="FFFFFF" w:themeColor="background1"/>
                <w:sz w:val="18"/>
                <w:lang w:val="en-US"/>
              </w:rPr>
              <w:t>MENT  LOSS % OF SUBSECTOR</w:t>
            </w:r>
          </w:p>
        </w:tc>
        <w:tc>
          <w:tcPr>
            <w:tcW w:w="550"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lang w:val="en-US"/>
              </w:rPr>
              <w:t>NET LOSS AS A % OF TOTAL EMPLOY</w:t>
            </w:r>
            <w:r w:rsidR="009C30AB">
              <w:rPr>
                <w:b/>
                <w:bCs/>
                <w:color w:val="FFFFFF" w:themeColor="background1"/>
                <w:sz w:val="18"/>
                <w:lang w:val="en-US"/>
              </w:rPr>
              <w:t>-</w:t>
            </w:r>
            <w:r w:rsidRPr="00BA4033">
              <w:rPr>
                <w:b/>
                <w:bCs/>
                <w:color w:val="FFFFFF" w:themeColor="background1"/>
                <w:sz w:val="18"/>
                <w:lang w:val="en-US"/>
              </w:rPr>
              <w:t>MENT</w:t>
            </w:r>
          </w:p>
        </w:tc>
        <w:tc>
          <w:tcPr>
            <w:tcW w:w="466"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lang w:val="en-US"/>
              </w:rPr>
              <w:t>POST 13 - 24 MONTHS EMPLOY</w:t>
            </w:r>
            <w:r w:rsidR="009C30AB">
              <w:rPr>
                <w:b/>
                <w:bCs/>
                <w:color w:val="FFFFFF" w:themeColor="background1"/>
                <w:sz w:val="18"/>
                <w:lang w:val="en-US"/>
              </w:rPr>
              <w:t>-</w:t>
            </w:r>
            <w:r w:rsidRPr="00BA4033">
              <w:rPr>
                <w:b/>
                <w:bCs/>
                <w:color w:val="FFFFFF" w:themeColor="background1"/>
                <w:sz w:val="18"/>
                <w:lang w:val="en-US"/>
              </w:rPr>
              <w:t>MENT LOSS</w:t>
            </w:r>
          </w:p>
        </w:tc>
        <w:tc>
          <w:tcPr>
            <w:tcW w:w="438" w:type="pct"/>
            <w:tcBorders>
              <w:top w:val="single" w:sz="4" w:space="0" w:color="000000"/>
              <w:left w:val="single" w:sz="4" w:space="0" w:color="000000"/>
              <w:bottom w:val="single" w:sz="4" w:space="0" w:color="000000"/>
              <w:right w:val="single" w:sz="4" w:space="0" w:color="000000"/>
            </w:tcBorders>
            <w:shd w:val="clear" w:color="auto" w:fill="305496"/>
            <w:tcMar>
              <w:top w:w="15" w:type="dxa"/>
              <w:left w:w="15" w:type="dxa"/>
              <w:bottom w:w="0" w:type="dxa"/>
              <w:right w:w="15" w:type="dxa"/>
            </w:tcMar>
            <w:hideMark/>
          </w:tcPr>
          <w:p w:rsidR="00BA4033" w:rsidRPr="00BA4033" w:rsidRDefault="00BA4033" w:rsidP="009C30AB">
            <w:pPr>
              <w:pStyle w:val="ListParagraph"/>
              <w:ind w:left="0"/>
              <w:jc w:val="center"/>
              <w:rPr>
                <w:color w:val="FFFFFF" w:themeColor="background1"/>
                <w:sz w:val="18"/>
              </w:rPr>
            </w:pPr>
            <w:r w:rsidRPr="00BA4033">
              <w:rPr>
                <w:b/>
                <w:bCs/>
                <w:color w:val="FFFFFF" w:themeColor="background1"/>
                <w:sz w:val="18"/>
                <w:lang w:val="en-US"/>
              </w:rPr>
              <w:t>NET LOSS AS A % OF EMPLOY</w:t>
            </w:r>
            <w:r w:rsidR="009C30AB">
              <w:rPr>
                <w:b/>
                <w:bCs/>
                <w:color w:val="FFFFFF" w:themeColor="background1"/>
                <w:sz w:val="18"/>
                <w:lang w:val="en-US"/>
              </w:rPr>
              <w:t>-</w:t>
            </w:r>
            <w:r w:rsidRPr="00BA4033">
              <w:rPr>
                <w:b/>
                <w:bCs/>
                <w:color w:val="FFFFFF" w:themeColor="background1"/>
                <w:sz w:val="18"/>
                <w:lang w:val="en-US"/>
              </w:rPr>
              <w:t>MENT</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 xml:space="preserve">Informal </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1,763</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91</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99</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35</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224</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12.7%</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0.8%</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14</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0.8%</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Tourism</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533</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44</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123</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154</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320</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60.0%</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128</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24.0%</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Agriculture</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16,725</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31</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139</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37</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208</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0.7%</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0.0%</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Mining</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38</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4.4%</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0.0%</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2.1%</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Manufac</w:t>
            </w:r>
            <w:r w:rsidR="00A31CC1">
              <w:rPr>
                <w:bCs/>
                <w:sz w:val="18"/>
                <w:szCs w:val="18"/>
              </w:rPr>
              <w:t>-</w:t>
            </w:r>
            <w:r w:rsidRPr="00A31CC1">
              <w:rPr>
                <w:bCs/>
                <w:sz w:val="18"/>
                <w:szCs w:val="18"/>
              </w:rPr>
              <w:t>turing</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2,482</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13</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49</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28</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90</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3.6%</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0.3%</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51</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2.0%</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Electricity</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44</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1.3%</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0.0%</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1.8%</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Construction</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779</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44</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58</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99</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202</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25.9%</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0.7%</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37</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4.8%</w:t>
            </w:r>
          </w:p>
        </w:tc>
      </w:tr>
      <w:tr w:rsidR="009C30AB" w:rsidRPr="00A31CC1" w:rsidTr="009052BF">
        <w:trPr>
          <w:trHeight w:val="397"/>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Trade</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1,831</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29</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42</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83</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4.5%</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0.3%</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47</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2.6%</w:t>
            </w:r>
          </w:p>
        </w:tc>
      </w:tr>
      <w:tr w:rsidR="009C30AB" w:rsidRPr="00A31CC1" w:rsidTr="009052BF">
        <w:trPr>
          <w:trHeight w:val="454"/>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Transport (incl telecomms)</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385</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7</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21</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5.5%</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0.1%</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6</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1.6%</w:t>
            </w:r>
          </w:p>
        </w:tc>
      </w:tr>
      <w:tr w:rsidR="009C30AB" w:rsidRPr="00A31CC1" w:rsidTr="009052BF">
        <w:trPr>
          <w:trHeight w:val="20"/>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lang w:val="en-US"/>
              </w:rPr>
              <w:t>Finance (finance, insurance, real estate and other services)</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1,334</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6</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9</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16</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31</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2.3%</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0.1%</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25</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1.9%</w:t>
            </w:r>
          </w:p>
        </w:tc>
      </w:tr>
      <w:tr w:rsidR="009C30AB" w:rsidRPr="00A31CC1" w:rsidTr="009052BF">
        <w:trPr>
          <w:trHeight w:val="20"/>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lang w:val="en-US"/>
              </w:rPr>
              <w:t xml:space="preserve">Community services (Public admin, </w:t>
            </w:r>
            <w:r w:rsidR="00F038D5" w:rsidRPr="00A31CC1">
              <w:rPr>
                <w:bCs/>
                <w:sz w:val="18"/>
                <w:szCs w:val="18"/>
                <w:lang w:val="en-US"/>
              </w:rPr>
              <w:t>defense</w:t>
            </w:r>
            <w:r w:rsidRPr="00A31CC1">
              <w:rPr>
                <w:bCs/>
                <w:sz w:val="18"/>
                <w:szCs w:val="18"/>
                <w:lang w:val="en-US"/>
              </w:rPr>
              <w:t>, health &amp; social work, other community services)</w:t>
            </w:r>
          </w:p>
        </w:tc>
        <w:tc>
          <w:tcPr>
            <w:tcW w:w="426" w:type="pct"/>
            <w:tcBorders>
              <w:top w:val="single" w:sz="4" w:space="0" w:color="000000"/>
              <w:left w:val="single" w:sz="4" w:space="0" w:color="000000"/>
              <w:bottom w:val="single" w:sz="4" w:space="0" w:color="000000"/>
              <w:right w:val="single" w:sz="4" w:space="0" w:color="000000"/>
            </w:tcBorders>
            <w:shd w:val="clear" w:color="auto" w:fill="FCE4D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1,892</w:t>
            </w:r>
          </w:p>
        </w:tc>
        <w:tc>
          <w:tcPr>
            <w:tcW w:w="481" w:type="pct"/>
            <w:tcBorders>
              <w:top w:val="single" w:sz="4" w:space="0" w:color="000000"/>
              <w:left w:val="single" w:sz="4" w:space="0" w:color="000000"/>
              <w:bottom w:val="single" w:sz="4" w:space="0" w:color="000000"/>
              <w:right w:val="single" w:sz="4" w:space="0" w:color="000000"/>
            </w:tcBorders>
            <w:shd w:val="clear" w:color="auto" w:fill="ACB9CA"/>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w:t>
            </w:r>
          </w:p>
        </w:tc>
        <w:tc>
          <w:tcPr>
            <w:tcW w:w="516" w:type="pct"/>
            <w:tcBorders>
              <w:top w:val="single" w:sz="4" w:space="0" w:color="000000"/>
              <w:left w:val="single" w:sz="4" w:space="0" w:color="000000"/>
              <w:bottom w:val="single" w:sz="4" w:space="0" w:color="000000"/>
              <w:right w:val="single" w:sz="4" w:space="0" w:color="000000"/>
            </w:tcBorders>
            <w:shd w:val="clear" w:color="auto" w:fill="9BC2E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32</w:t>
            </w:r>
          </w:p>
        </w:tc>
        <w:tc>
          <w:tcPr>
            <w:tcW w:w="517" w:type="pct"/>
            <w:tcBorders>
              <w:top w:val="single" w:sz="4" w:space="0" w:color="000000"/>
              <w:left w:val="single" w:sz="4" w:space="0" w:color="000000"/>
              <w:bottom w:val="single" w:sz="4" w:space="0" w:color="000000"/>
              <w:right w:val="single" w:sz="4" w:space="0" w:color="000000"/>
            </w:tcBorders>
            <w:shd w:val="clear" w:color="auto" w:fill="8EA9DB"/>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46</w:t>
            </w:r>
          </w:p>
        </w:tc>
        <w:tc>
          <w:tcPr>
            <w:tcW w:w="494"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81</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4.3%</w:t>
            </w:r>
          </w:p>
        </w:tc>
        <w:tc>
          <w:tcPr>
            <w:tcW w:w="550" w:type="pct"/>
            <w:tcBorders>
              <w:top w:val="single" w:sz="4" w:space="0" w:color="000000"/>
              <w:left w:val="single" w:sz="4" w:space="0" w:color="000000"/>
              <w:bottom w:val="single" w:sz="4" w:space="0" w:color="000000"/>
              <w:right w:val="single" w:sz="4" w:space="0" w:color="000000"/>
            </w:tcBorders>
            <w:shd w:val="clear" w:color="auto" w:fill="2F75B5"/>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0.3%</w:t>
            </w:r>
          </w:p>
        </w:tc>
        <w:tc>
          <w:tcPr>
            <w:tcW w:w="466"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9</w:t>
            </w:r>
          </w:p>
        </w:tc>
        <w:tc>
          <w:tcPr>
            <w:tcW w:w="438" w:type="pct"/>
            <w:tcBorders>
              <w:top w:val="single" w:sz="4" w:space="0" w:color="000000"/>
              <w:left w:val="single" w:sz="4" w:space="0" w:color="000000"/>
              <w:bottom w:val="single" w:sz="4" w:space="0" w:color="000000"/>
              <w:right w:val="single" w:sz="4" w:space="0" w:color="000000"/>
            </w:tcBorders>
            <w:shd w:val="clear" w:color="auto" w:fill="A9D08E"/>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0.5%</w:t>
            </w:r>
          </w:p>
        </w:tc>
      </w:tr>
      <w:tr w:rsidR="009C30AB" w:rsidRPr="00A31CC1" w:rsidTr="00A31CC1">
        <w:trPr>
          <w:trHeight w:val="20"/>
        </w:trPr>
        <w:tc>
          <w:tcPr>
            <w:tcW w:w="562"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Total</w:t>
            </w:r>
          </w:p>
        </w:tc>
        <w:tc>
          <w:tcPr>
            <w:tcW w:w="42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27,805</w:t>
            </w:r>
          </w:p>
        </w:tc>
        <w:tc>
          <w:tcPr>
            <w:tcW w:w="48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248</w:t>
            </w:r>
          </w:p>
        </w:tc>
        <w:tc>
          <w:tcPr>
            <w:tcW w:w="51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546</w:t>
            </w:r>
          </w:p>
        </w:tc>
        <w:tc>
          <w:tcPr>
            <w:tcW w:w="517"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469</w:t>
            </w:r>
          </w:p>
        </w:tc>
        <w:tc>
          <w:tcPr>
            <w:tcW w:w="494"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1,263</w:t>
            </w:r>
          </w:p>
        </w:tc>
        <w:tc>
          <w:tcPr>
            <w:tcW w:w="55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p>
        </w:tc>
        <w:tc>
          <w:tcPr>
            <w:tcW w:w="55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p>
        </w:tc>
        <w:tc>
          <w:tcPr>
            <w:tcW w:w="46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320</w:t>
            </w:r>
          </w:p>
        </w:tc>
        <w:tc>
          <w:tcPr>
            <w:tcW w:w="438"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p>
        </w:tc>
      </w:tr>
      <w:tr w:rsidR="009C30AB" w:rsidRPr="00A31CC1" w:rsidTr="00A31CC1">
        <w:trPr>
          <w:trHeight w:val="20"/>
        </w:trPr>
        <w:tc>
          <w:tcPr>
            <w:tcW w:w="562"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rPr>
                <w:sz w:val="18"/>
                <w:szCs w:val="18"/>
              </w:rPr>
            </w:pPr>
            <w:r w:rsidRPr="00A31CC1">
              <w:rPr>
                <w:bCs/>
                <w:sz w:val="18"/>
                <w:szCs w:val="18"/>
              </w:rPr>
              <w:t> </w:t>
            </w:r>
          </w:p>
        </w:tc>
        <w:tc>
          <w:tcPr>
            <w:tcW w:w="42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jc w:val="center"/>
              <w:rPr>
                <w:sz w:val="18"/>
                <w:szCs w:val="18"/>
              </w:rPr>
            </w:pPr>
          </w:p>
        </w:tc>
        <w:tc>
          <w:tcPr>
            <w:tcW w:w="48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0.89%</w:t>
            </w:r>
          </w:p>
        </w:tc>
        <w:tc>
          <w:tcPr>
            <w:tcW w:w="51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1.96%</w:t>
            </w:r>
          </w:p>
        </w:tc>
        <w:tc>
          <w:tcPr>
            <w:tcW w:w="517"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1.69%</w:t>
            </w:r>
          </w:p>
        </w:tc>
        <w:tc>
          <w:tcPr>
            <w:tcW w:w="494"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4.54%</w:t>
            </w:r>
          </w:p>
        </w:tc>
        <w:tc>
          <w:tcPr>
            <w:tcW w:w="55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-4.5%</w:t>
            </w:r>
          </w:p>
        </w:tc>
        <w:tc>
          <w:tcPr>
            <w:tcW w:w="55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p>
        </w:tc>
        <w:tc>
          <w:tcPr>
            <w:tcW w:w="466"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r w:rsidRPr="00A31CC1">
              <w:rPr>
                <w:bCs/>
                <w:sz w:val="18"/>
                <w:szCs w:val="18"/>
                <w:lang w:val="en-US"/>
              </w:rPr>
              <w:t>1.15%</w:t>
            </w:r>
          </w:p>
        </w:tc>
        <w:tc>
          <w:tcPr>
            <w:tcW w:w="438"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15" w:type="dxa"/>
              <w:left w:w="15" w:type="dxa"/>
              <w:bottom w:w="0" w:type="dxa"/>
              <w:right w:w="15" w:type="dxa"/>
            </w:tcMar>
            <w:vAlign w:val="center"/>
            <w:hideMark/>
          </w:tcPr>
          <w:p w:rsidR="00BA4033" w:rsidRPr="00A31CC1" w:rsidRDefault="00BA4033" w:rsidP="009C30AB">
            <w:pPr>
              <w:pStyle w:val="ListParagraph"/>
              <w:ind w:left="0"/>
              <w:jc w:val="center"/>
              <w:rPr>
                <w:sz w:val="18"/>
                <w:szCs w:val="18"/>
              </w:rPr>
            </w:pPr>
          </w:p>
        </w:tc>
      </w:tr>
    </w:tbl>
    <w:p w:rsidR="001F3378" w:rsidRDefault="006451D1" w:rsidP="009C30AB">
      <w:pPr>
        <w:pStyle w:val="ListParagraph"/>
        <w:spacing w:before="120" w:after="120" w:line="360" w:lineRule="auto"/>
        <w:ind w:left="0"/>
        <w:jc w:val="both"/>
      </w:pPr>
      <w:r>
        <w:t>Covid-19 pandemic is both a health crisis and a far-reaching global economic crisis.  The short term impact on the Bergrivier local economy is likely to be harsh, with significant declines in both the GVA and employment and a lengthy recovery period.  This is being aggravated by the general recessionary and high unemployment environment pre-Covid.  The immediate priority will be to support economic activities as far as possible and to alleviate poverty through various economic and social interventions.</w:t>
      </w:r>
    </w:p>
    <w:p w:rsidR="008B6030" w:rsidRDefault="008B6030" w:rsidP="008B6030">
      <w:pPr>
        <w:pStyle w:val="Heading2"/>
      </w:pPr>
      <w:r>
        <w:t>3.4</w:t>
      </w:r>
      <w:r>
        <w:tab/>
        <w:t>Berg</w:t>
      </w:r>
      <w:r>
        <w:t>rivier Municipality: Impact of C</w:t>
      </w:r>
      <w:r>
        <w:t xml:space="preserve">ovid-19 on the </w:t>
      </w:r>
      <w:r>
        <w:t xml:space="preserve">socio-economic profile of </w:t>
      </w:r>
      <w:r>
        <w:t>Bergrivier Municipality</w:t>
      </w:r>
    </w:p>
    <w:p w:rsidR="008B6030" w:rsidRDefault="008B6030" w:rsidP="008B6030">
      <w:pPr>
        <w:spacing w:before="120" w:after="120" w:line="360" w:lineRule="auto"/>
        <w:jc w:val="both"/>
      </w:pPr>
      <w:r>
        <w:t>One of the most important aspects of the impact of Covid-19 is the impact on the socio-economic profile of the communities in Bergrivier Municipal Area.  However this is complicated to quantify and qualify</w:t>
      </w:r>
      <w:r w:rsidR="00F173D7">
        <w:t xml:space="preserve"> at such an early stage</w:t>
      </w:r>
      <w:r>
        <w:t xml:space="preserve">.  Little verified data is available and a first attempt to analyse the impact is made, but needs further </w:t>
      </w:r>
      <w:r>
        <w:lastRenderedPageBreak/>
        <w:t>study and consultation with the relevant authorities.</w:t>
      </w:r>
      <w:r w:rsidR="00C13EA2">
        <w:t xml:space="preserve">  The Covid-19 pandemic created tremendous challenges for the most vulnerable groups and weakened social services.</w:t>
      </w:r>
    </w:p>
    <w:p w:rsidR="00994F4E" w:rsidRDefault="00994F4E" w:rsidP="008B6030">
      <w:pPr>
        <w:spacing w:before="120" w:after="120" w:line="360" w:lineRule="auto"/>
        <w:jc w:val="both"/>
      </w:pPr>
      <w:r>
        <w:t xml:space="preserve">Immediate analysis may include the more generic indicators such as the </w:t>
      </w:r>
      <w:proofErr w:type="spellStart"/>
      <w:r>
        <w:t>Gini</w:t>
      </w:r>
      <w:proofErr w:type="spellEnd"/>
      <w:r>
        <w:t xml:space="preserve"> Co-efficient or the Human Development Index or literacy statistics, but this may not quantify the impact that Covid-19 and the subsequent lockdown had on the socio-economic profile of communities.  These indicators may only be relevant over a longer period.</w:t>
      </w:r>
    </w:p>
    <w:p w:rsidR="00994F4E" w:rsidRDefault="00994F4E" w:rsidP="008B6030">
      <w:pPr>
        <w:spacing w:before="120" w:after="120" w:line="360" w:lineRule="auto"/>
        <w:jc w:val="both"/>
      </w:pPr>
      <w:r>
        <w:t>For the purposes of this Economic Recovery Plan, a simple framework was developed and ad hoc comments and statistics are included in the provisional analysis.  The following is relevant:</w:t>
      </w:r>
    </w:p>
    <w:p w:rsidR="00994F4E" w:rsidRDefault="00994F4E" w:rsidP="00994F4E">
      <w:pPr>
        <w:pStyle w:val="Heading3"/>
      </w:pPr>
      <w:r>
        <w:t>3.4.1</w:t>
      </w:r>
      <w:r>
        <w:tab/>
        <w:t>Impact of Covid-19 on food security</w:t>
      </w:r>
    </w:p>
    <w:p w:rsidR="00994F4E" w:rsidRDefault="00994F4E" w:rsidP="00994F4E">
      <w:pPr>
        <w:spacing w:before="120" w:after="120" w:line="360" w:lineRule="auto"/>
        <w:ind w:left="720"/>
        <w:jc w:val="both"/>
      </w:pPr>
      <w:r>
        <w:t xml:space="preserve">The immediate visible impact of Covid-19 and the subsequent lockdown was the need to provide food to the vulnerable.  The vulnerable also included temporary workers such as domestic workers and gardeners.  </w:t>
      </w:r>
      <w:proofErr w:type="spellStart"/>
      <w:r>
        <w:t>Velddrif</w:t>
      </w:r>
      <w:proofErr w:type="spellEnd"/>
      <w:r>
        <w:t xml:space="preserve"> has had a feeding scheme for a considerable period, whilst </w:t>
      </w:r>
      <w:proofErr w:type="spellStart"/>
      <w:r>
        <w:t>Eendekuil</w:t>
      </w:r>
      <w:proofErr w:type="spellEnd"/>
      <w:r>
        <w:t>, Piketberg and Porterville commenced with feeding schemes.</w:t>
      </w:r>
    </w:p>
    <w:p w:rsidR="00994F4E" w:rsidRDefault="00037AEC" w:rsidP="00037AEC">
      <w:pPr>
        <w:spacing w:before="120" w:after="120" w:line="360" w:lineRule="auto"/>
        <w:ind w:left="720"/>
        <w:jc w:val="both"/>
      </w:pPr>
      <w:r>
        <w:t xml:space="preserve">The pressure on the feeding scheme in </w:t>
      </w:r>
      <w:proofErr w:type="spellStart"/>
      <w:r>
        <w:t>Velddrif</w:t>
      </w:r>
      <w:proofErr w:type="spellEnd"/>
      <w:r>
        <w:t xml:space="preserve"> increased exponentially.  This is due to the increase in unemployment which had a direct impact on the finances of the feeding scheme.  This was made worse as food had to be given over weekends as well whereas no food is normally served over weekends.  The Porterville feeding scheme started registering each and every recipient of food on a daily basis and helped to identify the poorest of the poor households.</w:t>
      </w:r>
    </w:p>
    <w:p w:rsidR="00994F4E" w:rsidRDefault="00037AEC" w:rsidP="00037AEC">
      <w:pPr>
        <w:spacing w:before="120" w:after="120" w:line="360" w:lineRule="auto"/>
        <w:ind w:left="720"/>
        <w:jc w:val="both"/>
      </w:pPr>
      <w:r>
        <w:t xml:space="preserve">A feeding scheme commenced in </w:t>
      </w:r>
      <w:proofErr w:type="spellStart"/>
      <w:r>
        <w:t>Eendekuil</w:t>
      </w:r>
      <w:proofErr w:type="spellEnd"/>
      <w:r>
        <w:t xml:space="preserve"> under the auspices of a partnership of Initiative for Community Advancement, </w:t>
      </w:r>
      <w:proofErr w:type="spellStart"/>
      <w:r>
        <w:t>Cederberg</w:t>
      </w:r>
      <w:proofErr w:type="spellEnd"/>
      <w:r>
        <w:t xml:space="preserve"> </w:t>
      </w:r>
      <w:proofErr w:type="spellStart"/>
      <w:r>
        <w:t>Matzikamma</w:t>
      </w:r>
      <w:proofErr w:type="spellEnd"/>
      <w:r>
        <w:t xml:space="preserve"> AIDS Network and Die </w:t>
      </w:r>
      <w:proofErr w:type="spellStart"/>
      <w:r>
        <w:t>Liggaam</w:t>
      </w:r>
      <w:proofErr w:type="spellEnd"/>
      <w:r>
        <w:t xml:space="preserve"> van </w:t>
      </w:r>
      <w:proofErr w:type="spellStart"/>
      <w:r>
        <w:t>Christus</w:t>
      </w:r>
      <w:proofErr w:type="spellEnd"/>
      <w:r>
        <w:t xml:space="preserve"> church.  A nutritional programme served meals to primarily children and the elderly on a daily basis.  In April 2020 a total of 3 019 cooked meals were provided.  The closure of the feeding schemes at schools had an immediate impact on children not having f</w:t>
      </w:r>
      <w:r w:rsidR="00F173D7">
        <w:t>ood on a regular basis.</w:t>
      </w:r>
    </w:p>
    <w:p w:rsidR="00037AEC" w:rsidRDefault="00037AEC" w:rsidP="00037AEC">
      <w:pPr>
        <w:spacing w:before="120" w:after="120" w:line="360" w:lineRule="auto"/>
        <w:ind w:left="720"/>
        <w:jc w:val="both"/>
      </w:pPr>
      <w:r>
        <w:t>Bergrivier Municipal Area is predominantly an agricultural area and a number of seasonal workers could work in May in the citrus industry.  The Department of Basic Education also commenced with school feeding schemes on Tue</w:t>
      </w:r>
      <w:r w:rsidR="00F173D7">
        <w:t>sdays and Thursdays, but had no</w:t>
      </w:r>
      <w:r>
        <w:t xml:space="preserve"> significant impact on the number of people being fed in these months.</w:t>
      </w:r>
    </w:p>
    <w:p w:rsidR="00C13EA2" w:rsidRDefault="00037AEC" w:rsidP="00037AEC">
      <w:pPr>
        <w:spacing w:before="120" w:after="120" w:line="360" w:lineRule="auto"/>
        <w:ind w:left="720"/>
        <w:jc w:val="both"/>
      </w:pPr>
      <w:r>
        <w:t xml:space="preserve">A feeding scheme in Piketberg </w:t>
      </w:r>
      <w:r w:rsidR="00C13EA2">
        <w:t xml:space="preserve">is being co-ordinated under the auspices of the Mayor and 350 people </w:t>
      </w:r>
      <w:r w:rsidR="00F173D7">
        <w:t xml:space="preserve">are being fed </w:t>
      </w:r>
      <w:r w:rsidR="00C13EA2">
        <w:t>every Tuesday and Thursday.  A similar feeding scheme will commence in Redelinghuys.</w:t>
      </w:r>
    </w:p>
    <w:p w:rsidR="00C13EA2" w:rsidRDefault="00C13EA2" w:rsidP="00037AEC">
      <w:pPr>
        <w:spacing w:before="120" w:after="120" w:line="360" w:lineRule="auto"/>
        <w:ind w:left="720"/>
        <w:jc w:val="both"/>
      </w:pPr>
      <w:r>
        <w:t xml:space="preserve">In </w:t>
      </w:r>
      <w:proofErr w:type="spellStart"/>
      <w:r>
        <w:t>Velddrif</w:t>
      </w:r>
      <w:proofErr w:type="spellEnd"/>
      <w:r>
        <w:t>, Piketberg and Porterville a number of homeless shelters had to be established and food was provided on a regular basis to the homeless people.</w:t>
      </w:r>
    </w:p>
    <w:p w:rsidR="00037AEC" w:rsidRDefault="00037AEC" w:rsidP="00037AEC">
      <w:pPr>
        <w:spacing w:before="120" w:after="120" w:line="360" w:lineRule="auto"/>
        <w:ind w:left="720"/>
        <w:jc w:val="both"/>
      </w:pPr>
      <w:r>
        <w:t xml:space="preserve">Unemployed individuals and/or families living on farms also received food hampers on a regular basis.  The criteria of the Department of Social Development to only provide hampers to people not receiving </w:t>
      </w:r>
      <w:r>
        <w:lastRenderedPageBreak/>
        <w:t>social grants, excluded a number of poor families due to the lockdown and exposed the lack of knowledge of poor families to budget their monthly grants.</w:t>
      </w:r>
    </w:p>
    <w:p w:rsidR="00994F4E" w:rsidRDefault="000D2B9E" w:rsidP="000D2B9E">
      <w:pPr>
        <w:spacing w:before="120" w:after="120" w:line="360" w:lineRule="auto"/>
        <w:ind w:left="720"/>
        <w:jc w:val="both"/>
      </w:pPr>
      <w:r>
        <w:rPr>
          <w:noProof/>
          <w:lang w:eastAsia="en-ZA"/>
        </w:rPr>
        <w:drawing>
          <wp:anchor distT="0" distB="0" distL="114300" distR="114300" simplePos="0" relativeHeight="251668480" behindDoc="0" locked="0" layoutInCell="1" allowOverlap="1" wp14:anchorId="10AAD79C" wp14:editId="051E446E">
            <wp:simplePos x="0" y="0"/>
            <wp:positionH relativeFrom="column">
              <wp:posOffset>432435</wp:posOffset>
            </wp:positionH>
            <wp:positionV relativeFrom="paragraph">
              <wp:posOffset>857250</wp:posOffset>
            </wp:positionV>
            <wp:extent cx="5836920" cy="3710305"/>
            <wp:effectExtent l="0" t="0" r="0" b="4445"/>
            <wp:wrapTopAndBottom/>
            <wp:docPr id="4" name="Picture 4" descr="cid:image003.jpg@01D67212.00F54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67212.00F544A0"/>
                    <pic:cNvPicPr>
                      <a:picLocks noChangeAspect="1" noChangeArrowheads="1"/>
                    </pic:cNvPicPr>
                  </pic:nvPicPr>
                  <pic:blipFill rotWithShape="1">
                    <a:blip r:embed="rId14" r:link="rId15" cstate="print">
                      <a:extLst>
                        <a:ext uri="{28A0092B-C50C-407E-A947-70E740481C1C}">
                          <a14:useLocalDpi xmlns:a14="http://schemas.microsoft.com/office/drawing/2010/main" val="0"/>
                        </a:ext>
                      </a:extLst>
                    </a:blip>
                    <a:srcRect t="7809" b="4262"/>
                    <a:stretch/>
                  </pic:blipFill>
                  <pic:spPr bwMode="auto">
                    <a:xfrm>
                      <a:off x="0" y="0"/>
                      <a:ext cx="5836920" cy="3710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Western Cape Provincial Government developed a database of humanitarian relief during the various levels of lockdown.  The following image is the extent of humanitarian aid in Bergrivier Municipal Area until 6 Augustus 2020:</w:t>
      </w:r>
    </w:p>
    <w:p w:rsidR="000D2B9E" w:rsidRPr="00994F4E" w:rsidRDefault="000D2B9E" w:rsidP="00994F4E">
      <w:pPr>
        <w:spacing w:before="120" w:after="120" w:line="360" w:lineRule="auto"/>
        <w:ind w:left="720"/>
      </w:pPr>
    </w:p>
    <w:p w:rsidR="00994F4E" w:rsidRDefault="00994F4E" w:rsidP="00994F4E">
      <w:pPr>
        <w:pStyle w:val="Heading3"/>
      </w:pPr>
      <w:r>
        <w:t>3.4.2</w:t>
      </w:r>
      <w:r>
        <w:tab/>
        <w:t xml:space="preserve">Impact of Covid-19 on </w:t>
      </w:r>
      <w:r w:rsidR="00C13EA2">
        <w:t>children and the youth</w:t>
      </w:r>
    </w:p>
    <w:p w:rsidR="00994F4E" w:rsidRDefault="00C13EA2" w:rsidP="00994F4E">
      <w:pPr>
        <w:spacing w:before="120" w:after="120" w:line="360" w:lineRule="auto"/>
        <w:ind w:left="720"/>
        <w:jc w:val="both"/>
      </w:pPr>
      <w:r>
        <w:t xml:space="preserve">Social distancing and human mobility restrictions disrupted households and exposed them to financial deficiencies and court permission to return children to the caregiver/parents.  During the period 2 incidents were reported of children in need of court permission to return to their parents.  Threats to the children’s safety and </w:t>
      </w:r>
      <w:proofErr w:type="spellStart"/>
      <w:r>
        <w:t>well being</w:t>
      </w:r>
      <w:proofErr w:type="spellEnd"/>
      <w:r>
        <w:t xml:space="preserve"> (including physical abuse, child neglect and sexual abuse) were </w:t>
      </w:r>
      <w:r w:rsidR="00F173D7">
        <w:t>not necessarily reported to the Department of Social Development and no real statistics are available on the frequency of such abuse to children</w:t>
      </w:r>
      <w:r>
        <w:t>.  However, the risk of children not being in school, with poor literacy and access to internet could have affected motivation and behavioural challenges.  The care and protection of the vulnerable were further limited due to professionals not being able to function full capacity due to the regulations.</w:t>
      </w:r>
    </w:p>
    <w:p w:rsidR="00C13EA2" w:rsidRDefault="000D2B9E" w:rsidP="00C13EA2">
      <w:pPr>
        <w:spacing w:before="120" w:after="120" w:line="360" w:lineRule="auto"/>
        <w:ind w:left="720"/>
        <w:jc w:val="both"/>
      </w:pPr>
      <w:r>
        <w:t>Unemplo</w:t>
      </w:r>
      <w:r w:rsidR="00C13EA2">
        <w:t>yment amongst the youth necessarily also increased.  The closure of Technical and Vocational education and training centres hampered the developing and strengthening of skills development, job and income generation opportunities.</w:t>
      </w:r>
    </w:p>
    <w:p w:rsidR="00F43679" w:rsidRDefault="00994F4E" w:rsidP="00994F4E">
      <w:pPr>
        <w:pStyle w:val="Heading3"/>
      </w:pPr>
      <w:r>
        <w:lastRenderedPageBreak/>
        <w:t>3.4.3</w:t>
      </w:r>
      <w:r>
        <w:tab/>
        <w:t xml:space="preserve">Impact of Covid-19 on </w:t>
      </w:r>
      <w:r w:rsidR="00F43679">
        <w:t>the elderly</w:t>
      </w:r>
    </w:p>
    <w:p w:rsidR="00F43679" w:rsidRPr="00F43679" w:rsidRDefault="00F43679" w:rsidP="001711DF">
      <w:pPr>
        <w:spacing w:before="120" w:after="120" w:line="360" w:lineRule="auto"/>
        <w:ind w:left="720"/>
        <w:jc w:val="both"/>
      </w:pPr>
      <w:r>
        <w:t>The elderly and especially homeless people were severely vulnerable.  Social isolation increased and the elderly in residential facilities had none or limited contact with their families and loved ones.  The request for care and protection services to abused elderly was significantly less than before the pandemic announcement.</w:t>
      </w:r>
    </w:p>
    <w:p w:rsidR="00994F4E" w:rsidRDefault="00F33C3F" w:rsidP="00994F4E">
      <w:pPr>
        <w:pStyle w:val="Heading3"/>
      </w:pPr>
      <w:r>
        <w:t>3.4.4</w:t>
      </w:r>
      <w:r w:rsidR="00994F4E">
        <w:tab/>
        <w:t>Impact of Covid-19 on crime</w:t>
      </w:r>
    </w:p>
    <w:p w:rsidR="00F33C3F" w:rsidRPr="00F33C3F" w:rsidRDefault="00F33C3F" w:rsidP="001711DF">
      <w:pPr>
        <w:spacing w:before="120" w:after="120" w:line="360" w:lineRule="auto"/>
        <w:ind w:left="720"/>
        <w:jc w:val="both"/>
        <w:rPr>
          <w:rFonts w:cs="Arial"/>
        </w:rPr>
      </w:pPr>
      <w:r w:rsidRPr="00F33C3F">
        <w:rPr>
          <w:rFonts w:cs="Arial"/>
        </w:rPr>
        <w:t>Information provided relates to the period 2020-03-27 till 2020-08-17 compared to the same period in 2019</w:t>
      </w:r>
      <w:r w:rsidR="00F173D7">
        <w:rPr>
          <w:rFonts w:cs="Arial"/>
        </w:rPr>
        <w:t xml:space="preserve"> -</w:t>
      </w:r>
      <w:r w:rsidRPr="00F33C3F">
        <w:rPr>
          <w:rFonts w:cs="Arial"/>
        </w:rPr>
        <w:t xml:space="preserve"> thus 2019-03-27 to 2019-08-17.</w:t>
      </w:r>
      <w:r w:rsidRPr="00F33C3F">
        <w:rPr>
          <w:rFonts w:cs="Arial"/>
        </w:rPr>
        <w:t xml:space="preserve">  </w:t>
      </w:r>
      <w:r w:rsidRPr="00F33C3F">
        <w:rPr>
          <w:rFonts w:cs="Arial"/>
        </w:rPr>
        <w:t>As crime statistics cannot be provided this report relates to crime tendencies during</w:t>
      </w:r>
      <w:r w:rsidRPr="00F33C3F">
        <w:rPr>
          <w:rFonts w:cs="Arial"/>
        </w:rPr>
        <w:t xml:space="preserve"> </w:t>
      </w:r>
      <w:r w:rsidRPr="00F33C3F">
        <w:rPr>
          <w:rFonts w:cs="Arial"/>
        </w:rPr>
        <w:t>the mentioned period.</w:t>
      </w:r>
    </w:p>
    <w:p w:rsidR="00F33C3F" w:rsidRPr="00F33C3F" w:rsidRDefault="00F33C3F" w:rsidP="001711DF">
      <w:pPr>
        <w:spacing w:before="120" w:after="120" w:line="360" w:lineRule="auto"/>
        <w:ind w:left="720"/>
        <w:jc w:val="both"/>
        <w:rPr>
          <w:rFonts w:cs="Arial"/>
        </w:rPr>
      </w:pPr>
      <w:r w:rsidRPr="00F33C3F">
        <w:rPr>
          <w:rFonts w:cs="Arial"/>
        </w:rPr>
        <w:t xml:space="preserve">Bergrivier policing areas within the </w:t>
      </w:r>
      <w:proofErr w:type="spellStart"/>
      <w:r w:rsidRPr="00F33C3F">
        <w:rPr>
          <w:rFonts w:cs="Arial"/>
        </w:rPr>
        <w:t>Vredenburg</w:t>
      </w:r>
      <w:proofErr w:type="spellEnd"/>
      <w:r w:rsidRPr="00F33C3F">
        <w:rPr>
          <w:rFonts w:cs="Arial"/>
        </w:rPr>
        <w:t xml:space="preserve"> Cluster includes the following policing</w:t>
      </w:r>
      <w:r w:rsidRPr="00F33C3F">
        <w:rPr>
          <w:rFonts w:cs="Arial"/>
        </w:rPr>
        <w:t xml:space="preserve"> </w:t>
      </w:r>
      <w:r w:rsidRPr="00F33C3F">
        <w:rPr>
          <w:rFonts w:cs="Arial"/>
        </w:rPr>
        <w:t xml:space="preserve">precincts: SAPS Piketberg, SAPS Porterville, SAPS </w:t>
      </w:r>
      <w:proofErr w:type="spellStart"/>
      <w:r w:rsidRPr="00F33C3F">
        <w:rPr>
          <w:rFonts w:cs="Arial"/>
        </w:rPr>
        <w:t>Laaiplek</w:t>
      </w:r>
      <w:proofErr w:type="spellEnd"/>
      <w:r w:rsidRPr="00F33C3F">
        <w:rPr>
          <w:rFonts w:cs="Arial"/>
        </w:rPr>
        <w:t xml:space="preserve">, SAPS Redelinghuys and SAPS </w:t>
      </w:r>
      <w:proofErr w:type="spellStart"/>
      <w:r w:rsidRPr="00F33C3F">
        <w:rPr>
          <w:rFonts w:cs="Arial"/>
        </w:rPr>
        <w:t>Eendekuil</w:t>
      </w:r>
      <w:proofErr w:type="spellEnd"/>
      <w:r w:rsidRPr="00F33C3F">
        <w:rPr>
          <w:rFonts w:cs="Arial"/>
        </w:rPr>
        <w:t>.</w:t>
      </w:r>
      <w:r w:rsidR="001711DF">
        <w:rPr>
          <w:rFonts w:cs="Arial"/>
        </w:rPr>
        <w:t xml:space="preserve">  </w:t>
      </w:r>
      <w:r w:rsidRPr="00F33C3F">
        <w:rPr>
          <w:rFonts w:cs="Arial"/>
        </w:rPr>
        <w:t>The</w:t>
      </w:r>
      <w:r w:rsidRPr="00F33C3F">
        <w:rPr>
          <w:rFonts w:cs="Arial"/>
        </w:rPr>
        <w:t xml:space="preserve"> feedback is handled </w:t>
      </w:r>
      <w:r w:rsidRPr="00F33C3F">
        <w:rPr>
          <w:rFonts w:cs="Arial"/>
        </w:rPr>
        <w:t>under the following headings:</w:t>
      </w:r>
    </w:p>
    <w:p w:rsidR="00F33C3F" w:rsidRPr="00F33C3F" w:rsidRDefault="00F33C3F" w:rsidP="00F33C3F">
      <w:pPr>
        <w:pStyle w:val="ListParagraph"/>
        <w:numPr>
          <w:ilvl w:val="0"/>
          <w:numId w:val="26"/>
        </w:numPr>
        <w:spacing w:before="120" w:after="120" w:line="360" w:lineRule="auto"/>
        <w:contextualSpacing w:val="0"/>
        <w:jc w:val="both"/>
        <w:rPr>
          <w:rFonts w:cs="Arial"/>
        </w:rPr>
      </w:pPr>
      <w:r w:rsidRPr="00F33C3F">
        <w:rPr>
          <w:rFonts w:cs="Arial"/>
        </w:rPr>
        <w:t xml:space="preserve">The impact </w:t>
      </w:r>
      <w:proofErr w:type="spellStart"/>
      <w:r w:rsidRPr="00F33C3F">
        <w:rPr>
          <w:rFonts w:cs="Arial"/>
        </w:rPr>
        <w:t>Covid</w:t>
      </w:r>
      <w:proofErr w:type="spellEnd"/>
      <w:r w:rsidRPr="00F33C3F">
        <w:rPr>
          <w:rFonts w:cs="Arial"/>
        </w:rPr>
        <w:t xml:space="preserve"> 19 had on general Crime in the Bergrivier area.</w:t>
      </w:r>
    </w:p>
    <w:p w:rsidR="00F33C3F" w:rsidRPr="00F33C3F" w:rsidRDefault="00F33C3F" w:rsidP="00F33C3F">
      <w:pPr>
        <w:pStyle w:val="ListParagraph"/>
        <w:numPr>
          <w:ilvl w:val="0"/>
          <w:numId w:val="26"/>
        </w:numPr>
        <w:spacing w:before="120" w:after="120" w:line="360" w:lineRule="auto"/>
        <w:contextualSpacing w:val="0"/>
        <w:jc w:val="both"/>
        <w:rPr>
          <w:rFonts w:cs="Arial"/>
        </w:rPr>
      </w:pPr>
      <w:r w:rsidRPr="00F33C3F">
        <w:rPr>
          <w:rFonts w:cs="Arial"/>
        </w:rPr>
        <w:t xml:space="preserve">The impact of </w:t>
      </w:r>
      <w:proofErr w:type="spellStart"/>
      <w:r w:rsidRPr="00F33C3F">
        <w:rPr>
          <w:rFonts w:cs="Arial"/>
        </w:rPr>
        <w:t>Covid</w:t>
      </w:r>
      <w:proofErr w:type="spellEnd"/>
      <w:r w:rsidRPr="00F33C3F">
        <w:rPr>
          <w:rFonts w:cs="Arial"/>
        </w:rPr>
        <w:t xml:space="preserve"> 19 on Substance abuse</w:t>
      </w:r>
    </w:p>
    <w:p w:rsidR="00F33C3F" w:rsidRPr="00F33C3F" w:rsidRDefault="00F33C3F" w:rsidP="00F33C3F">
      <w:pPr>
        <w:pStyle w:val="ListParagraph"/>
        <w:numPr>
          <w:ilvl w:val="0"/>
          <w:numId w:val="26"/>
        </w:numPr>
        <w:spacing w:before="120" w:after="120" w:line="360" w:lineRule="auto"/>
        <w:contextualSpacing w:val="0"/>
        <w:jc w:val="both"/>
        <w:rPr>
          <w:rFonts w:cs="Arial"/>
        </w:rPr>
      </w:pPr>
      <w:r w:rsidRPr="00F33C3F">
        <w:rPr>
          <w:rFonts w:cs="Arial"/>
        </w:rPr>
        <w:t xml:space="preserve">The impact of </w:t>
      </w:r>
      <w:proofErr w:type="spellStart"/>
      <w:r w:rsidRPr="00F33C3F">
        <w:rPr>
          <w:rFonts w:cs="Arial"/>
        </w:rPr>
        <w:t>Covid</w:t>
      </w:r>
      <w:proofErr w:type="spellEnd"/>
      <w:r w:rsidRPr="00F33C3F">
        <w:rPr>
          <w:rFonts w:cs="Arial"/>
        </w:rPr>
        <w:t xml:space="preserve"> 19 on Gender based Violence</w:t>
      </w:r>
    </w:p>
    <w:p w:rsidR="00F33C3F" w:rsidRPr="00F33C3F" w:rsidRDefault="00F33C3F" w:rsidP="001711DF">
      <w:pPr>
        <w:spacing w:before="120" w:after="120" w:line="360" w:lineRule="auto"/>
        <w:ind w:left="720"/>
        <w:jc w:val="both"/>
        <w:rPr>
          <w:rFonts w:ascii="Calibri" w:hAnsi="Calibri" w:cs="Arial"/>
          <w:b/>
          <w:bCs/>
          <w:i/>
          <w:iCs/>
          <w:u w:val="single"/>
        </w:rPr>
      </w:pPr>
      <w:r w:rsidRPr="00F33C3F">
        <w:rPr>
          <w:rFonts w:ascii="Calibri" w:hAnsi="Calibri" w:cs="Arial"/>
          <w:b/>
          <w:bCs/>
          <w:i/>
          <w:iCs/>
          <w:u w:val="single"/>
        </w:rPr>
        <w:t xml:space="preserve">The impact of </w:t>
      </w:r>
      <w:proofErr w:type="spellStart"/>
      <w:r w:rsidRPr="00F33C3F">
        <w:rPr>
          <w:rFonts w:ascii="Calibri" w:hAnsi="Calibri" w:cs="Arial"/>
          <w:b/>
          <w:bCs/>
          <w:i/>
          <w:iCs/>
          <w:u w:val="single"/>
        </w:rPr>
        <w:t>Covid</w:t>
      </w:r>
      <w:proofErr w:type="spellEnd"/>
      <w:r w:rsidRPr="00F33C3F">
        <w:rPr>
          <w:rFonts w:ascii="Calibri" w:hAnsi="Calibri" w:cs="Arial"/>
          <w:b/>
          <w:bCs/>
          <w:i/>
          <w:iCs/>
          <w:u w:val="single"/>
        </w:rPr>
        <w:t xml:space="preserve"> 19 on Gender based Violence</w:t>
      </w:r>
    </w:p>
    <w:p w:rsidR="00F33C3F" w:rsidRPr="00F33C3F" w:rsidRDefault="00F33C3F" w:rsidP="001711DF">
      <w:pPr>
        <w:spacing w:before="120" w:after="120" w:line="360" w:lineRule="auto"/>
        <w:ind w:left="720"/>
        <w:jc w:val="both"/>
        <w:rPr>
          <w:rFonts w:ascii="Calibri" w:hAnsi="Calibri" w:cs="Arial"/>
        </w:rPr>
      </w:pPr>
      <w:r w:rsidRPr="00F33C3F">
        <w:rPr>
          <w:rFonts w:ascii="Calibri" w:hAnsi="Calibri" w:cs="Arial"/>
        </w:rPr>
        <w:t>As the term Gender Based Violence is very wide and includes any violent action against both male and female based on gender issues, the report focusses specifically on reported incidents of Domestic Violence during the mentioned period in the Five (5) Bergrivier towns.</w:t>
      </w:r>
    </w:p>
    <w:p w:rsidR="00F33C3F" w:rsidRPr="00F33C3F" w:rsidRDefault="00F33C3F" w:rsidP="001711DF">
      <w:pPr>
        <w:spacing w:before="120" w:after="120" w:line="360" w:lineRule="auto"/>
        <w:ind w:left="720"/>
        <w:jc w:val="both"/>
        <w:rPr>
          <w:rFonts w:ascii="Calibri" w:hAnsi="Calibri" w:cs="Arial"/>
        </w:rPr>
      </w:pPr>
      <w:r w:rsidRPr="00F33C3F">
        <w:rPr>
          <w:rFonts w:ascii="Calibri" w:hAnsi="Calibri" w:cs="Arial"/>
        </w:rPr>
        <w:t>When comparing the statistics of incidents of Domestic Violence reported 2019-03-27 till 2019-08-17 to incidents reported 2020-03-27 till 2020-08-17 the following is noted:</w:t>
      </w:r>
    </w:p>
    <w:p w:rsidR="00F33C3F" w:rsidRPr="00F33C3F" w:rsidRDefault="00F33C3F" w:rsidP="001711DF">
      <w:pPr>
        <w:pStyle w:val="ListParagraph"/>
        <w:numPr>
          <w:ilvl w:val="0"/>
          <w:numId w:val="27"/>
        </w:numPr>
        <w:spacing w:before="120" w:after="120" w:line="360" w:lineRule="auto"/>
        <w:ind w:left="1094" w:hanging="357"/>
        <w:contextualSpacing w:val="0"/>
        <w:jc w:val="both"/>
        <w:rPr>
          <w:rFonts w:ascii="Calibri" w:hAnsi="Calibri" w:cs="Arial"/>
        </w:rPr>
      </w:pPr>
      <w:r w:rsidRPr="00F33C3F">
        <w:rPr>
          <w:rFonts w:ascii="Calibri" w:hAnsi="Calibri" w:cs="Arial"/>
        </w:rPr>
        <w:t xml:space="preserve">The towns of Porterville and </w:t>
      </w:r>
      <w:proofErr w:type="spellStart"/>
      <w:r w:rsidRPr="00F33C3F">
        <w:rPr>
          <w:rFonts w:ascii="Calibri" w:hAnsi="Calibri" w:cs="Arial"/>
        </w:rPr>
        <w:t>Eendekuil</w:t>
      </w:r>
      <w:proofErr w:type="spellEnd"/>
      <w:r w:rsidRPr="00F33C3F">
        <w:rPr>
          <w:rFonts w:ascii="Calibri" w:hAnsi="Calibri" w:cs="Arial"/>
        </w:rPr>
        <w:t xml:space="preserve"> showed a sharp increase of incidents of Domestic Violence</w:t>
      </w:r>
      <w:r w:rsidRPr="00F33C3F">
        <w:rPr>
          <w:rFonts w:ascii="Calibri" w:hAnsi="Calibri" w:cs="Arial"/>
        </w:rPr>
        <w:t xml:space="preserve"> </w:t>
      </w:r>
      <w:r w:rsidR="00F173D7">
        <w:rPr>
          <w:rFonts w:ascii="Calibri" w:hAnsi="Calibri" w:cs="Arial"/>
        </w:rPr>
        <w:t>r</w:t>
      </w:r>
      <w:r w:rsidRPr="00F33C3F">
        <w:rPr>
          <w:rFonts w:ascii="Calibri" w:hAnsi="Calibri" w:cs="Arial"/>
        </w:rPr>
        <w:t>eported.</w:t>
      </w:r>
    </w:p>
    <w:p w:rsidR="00F33C3F" w:rsidRPr="00F33C3F" w:rsidRDefault="00F33C3F" w:rsidP="001711DF">
      <w:pPr>
        <w:pStyle w:val="ListParagraph"/>
        <w:numPr>
          <w:ilvl w:val="0"/>
          <w:numId w:val="27"/>
        </w:numPr>
        <w:spacing w:before="120" w:after="120" w:line="360" w:lineRule="auto"/>
        <w:ind w:left="1094" w:hanging="357"/>
        <w:contextualSpacing w:val="0"/>
        <w:jc w:val="both"/>
        <w:rPr>
          <w:rFonts w:ascii="Calibri" w:hAnsi="Calibri" w:cs="Arial"/>
        </w:rPr>
      </w:pPr>
      <w:proofErr w:type="spellStart"/>
      <w:r w:rsidRPr="00F33C3F">
        <w:rPr>
          <w:rFonts w:ascii="Calibri" w:hAnsi="Calibri" w:cs="Arial"/>
        </w:rPr>
        <w:t>Laaiplek</w:t>
      </w:r>
      <w:proofErr w:type="spellEnd"/>
      <w:r w:rsidRPr="00F33C3F">
        <w:rPr>
          <w:rFonts w:ascii="Calibri" w:hAnsi="Calibri" w:cs="Arial"/>
        </w:rPr>
        <w:t xml:space="preserve"> showed a marginal increase in reported cases of Domestic Violence,</w:t>
      </w:r>
      <w:r w:rsidRPr="00F33C3F">
        <w:rPr>
          <w:rFonts w:ascii="Calibri" w:hAnsi="Calibri" w:cs="Arial"/>
        </w:rPr>
        <w:t xml:space="preserve"> </w:t>
      </w:r>
      <w:r w:rsidRPr="00F33C3F">
        <w:rPr>
          <w:rFonts w:ascii="Calibri" w:hAnsi="Calibri" w:cs="Arial"/>
        </w:rPr>
        <w:t xml:space="preserve">while Piketberg and Redelinghuys showed a decrease in reported cases. </w:t>
      </w:r>
    </w:p>
    <w:p w:rsidR="00F33C3F" w:rsidRDefault="00F33C3F" w:rsidP="001711DF">
      <w:pPr>
        <w:pStyle w:val="ListParagraph"/>
        <w:numPr>
          <w:ilvl w:val="0"/>
          <w:numId w:val="27"/>
        </w:numPr>
        <w:spacing w:before="120" w:after="120" w:line="360" w:lineRule="auto"/>
        <w:ind w:left="1094" w:hanging="357"/>
        <w:contextualSpacing w:val="0"/>
        <w:jc w:val="both"/>
        <w:rPr>
          <w:rFonts w:ascii="Calibri" w:hAnsi="Calibri" w:cs="Arial"/>
        </w:rPr>
      </w:pPr>
      <w:r w:rsidRPr="00F33C3F">
        <w:rPr>
          <w:rFonts w:ascii="Calibri" w:hAnsi="Calibri" w:cs="Arial"/>
        </w:rPr>
        <w:t>When comparing figures of all the Bergrivier stations the area showed an increase in reported cases of Domestic Violence.</w:t>
      </w:r>
    </w:p>
    <w:p w:rsidR="00F33C3F" w:rsidRPr="00994F4E" w:rsidRDefault="00F33C3F" w:rsidP="001711DF">
      <w:pPr>
        <w:spacing w:before="120" w:after="120" w:line="360" w:lineRule="auto"/>
        <w:ind w:left="720"/>
        <w:jc w:val="both"/>
      </w:pPr>
      <w:r>
        <w:t>Of concern is that only 3 Cases were reported to</w:t>
      </w:r>
      <w:r>
        <w:t xml:space="preserve"> the Department of Social Development which is significantly less than </w:t>
      </w:r>
      <w:r>
        <w:t>the reporting of the DSD</w:t>
      </w:r>
      <w:r>
        <w:t xml:space="preserve">.  </w:t>
      </w:r>
      <w:r>
        <w:t>DSD reported that h</w:t>
      </w:r>
      <w:r>
        <w:t>uman resource capacity was increased with the appointment of a VEP social workers in the service area.</w:t>
      </w:r>
    </w:p>
    <w:p w:rsidR="00F33C3F" w:rsidRPr="00F33C3F" w:rsidRDefault="00F33C3F" w:rsidP="001711DF">
      <w:pPr>
        <w:spacing w:before="120" w:after="120" w:line="360" w:lineRule="auto"/>
        <w:ind w:left="720"/>
        <w:jc w:val="both"/>
        <w:rPr>
          <w:rFonts w:cs="Arial"/>
          <w:b/>
          <w:bCs/>
          <w:i/>
          <w:iCs/>
          <w:u w:val="single"/>
        </w:rPr>
      </w:pPr>
      <w:r w:rsidRPr="00F33C3F">
        <w:rPr>
          <w:rFonts w:cs="Arial"/>
          <w:b/>
          <w:bCs/>
          <w:i/>
          <w:iCs/>
          <w:u w:val="single"/>
        </w:rPr>
        <w:t xml:space="preserve">The impact of </w:t>
      </w:r>
      <w:proofErr w:type="spellStart"/>
      <w:r w:rsidRPr="00F33C3F">
        <w:rPr>
          <w:rFonts w:cs="Arial"/>
          <w:b/>
          <w:bCs/>
          <w:i/>
          <w:iCs/>
          <w:u w:val="single"/>
        </w:rPr>
        <w:t>Covid</w:t>
      </w:r>
      <w:proofErr w:type="spellEnd"/>
      <w:r w:rsidRPr="00F33C3F">
        <w:rPr>
          <w:rFonts w:cs="Arial"/>
          <w:b/>
          <w:bCs/>
          <w:i/>
          <w:iCs/>
          <w:u w:val="single"/>
        </w:rPr>
        <w:t xml:space="preserve"> 19 on Substance abuse</w:t>
      </w:r>
    </w:p>
    <w:p w:rsidR="00F33C3F" w:rsidRPr="00F33C3F" w:rsidRDefault="00F33C3F" w:rsidP="001711DF">
      <w:pPr>
        <w:spacing w:before="120" w:after="120" w:line="360" w:lineRule="auto"/>
        <w:ind w:left="720"/>
        <w:jc w:val="both"/>
        <w:rPr>
          <w:rFonts w:cs="Arial"/>
        </w:rPr>
      </w:pPr>
      <w:r w:rsidRPr="00F33C3F">
        <w:rPr>
          <w:rFonts w:cs="Arial"/>
        </w:rPr>
        <w:lastRenderedPageBreak/>
        <w:t xml:space="preserve">Substance abuse includes both the abuse of legal and illegal substances </w:t>
      </w:r>
      <w:proofErr w:type="spellStart"/>
      <w:r w:rsidRPr="00F33C3F">
        <w:rPr>
          <w:rFonts w:cs="Arial"/>
        </w:rPr>
        <w:t>ie</w:t>
      </w:r>
      <w:proofErr w:type="spellEnd"/>
      <w:r w:rsidRPr="00F33C3F">
        <w:rPr>
          <w:rFonts w:cs="Arial"/>
        </w:rPr>
        <w:t>. Drugs and Liq</w:t>
      </w:r>
      <w:r w:rsidR="00F173D7">
        <w:rPr>
          <w:rFonts w:cs="Arial"/>
        </w:rPr>
        <w:t>u</w:t>
      </w:r>
      <w:r w:rsidRPr="00F33C3F">
        <w:rPr>
          <w:rFonts w:cs="Arial"/>
        </w:rPr>
        <w:t>or</w:t>
      </w:r>
      <w:r>
        <w:rPr>
          <w:rFonts w:cs="Arial"/>
        </w:rPr>
        <w:t xml:space="preserve">.  </w:t>
      </w:r>
      <w:r w:rsidRPr="00F33C3F">
        <w:rPr>
          <w:rFonts w:cs="Arial"/>
        </w:rPr>
        <w:t>All towns in the Bergrivier area showed a decrease in the reported cases for Possession of Drugs as well as Offences relating to the abuse of Liq</w:t>
      </w:r>
      <w:r w:rsidR="00F173D7">
        <w:rPr>
          <w:rFonts w:cs="Arial"/>
        </w:rPr>
        <w:t>u</w:t>
      </w:r>
      <w:r w:rsidRPr="00F33C3F">
        <w:rPr>
          <w:rFonts w:cs="Arial"/>
        </w:rPr>
        <w:t>or.</w:t>
      </w:r>
      <w:r>
        <w:rPr>
          <w:rFonts w:cs="Arial"/>
        </w:rPr>
        <w:t xml:space="preserve">  </w:t>
      </w:r>
      <w:r w:rsidRPr="00F33C3F">
        <w:rPr>
          <w:rFonts w:cs="Arial"/>
        </w:rPr>
        <w:t>This could be ascribed to va</w:t>
      </w:r>
      <w:r>
        <w:rPr>
          <w:rFonts w:cs="Arial"/>
        </w:rPr>
        <w:t>ri</w:t>
      </w:r>
      <w:r w:rsidR="00F173D7">
        <w:rPr>
          <w:rFonts w:cs="Arial"/>
        </w:rPr>
        <w:t xml:space="preserve">ous factors which include </w:t>
      </w:r>
      <w:proofErr w:type="spellStart"/>
      <w:r w:rsidR="00F173D7">
        <w:rPr>
          <w:rFonts w:cs="Arial"/>
        </w:rPr>
        <w:t>i.e.e</w:t>
      </w:r>
      <w:r>
        <w:rPr>
          <w:rFonts w:cs="Arial"/>
        </w:rPr>
        <w:t>s</w:t>
      </w:r>
      <w:r w:rsidRPr="00F33C3F">
        <w:rPr>
          <w:rFonts w:cs="Arial"/>
        </w:rPr>
        <w:t>trict</w:t>
      </w:r>
      <w:proofErr w:type="spellEnd"/>
      <w:r w:rsidRPr="00F33C3F">
        <w:rPr>
          <w:rFonts w:cs="Arial"/>
        </w:rPr>
        <w:t xml:space="preserve"> Cov</w:t>
      </w:r>
      <w:r>
        <w:rPr>
          <w:rFonts w:cs="Arial"/>
        </w:rPr>
        <w:t>id-</w:t>
      </w:r>
      <w:r w:rsidRPr="00F33C3F">
        <w:rPr>
          <w:rFonts w:cs="Arial"/>
        </w:rPr>
        <w:t>19 curfew implementation under lockdown</w:t>
      </w:r>
      <w:r>
        <w:rPr>
          <w:rFonts w:cs="Arial"/>
        </w:rPr>
        <w:t xml:space="preserve"> L</w:t>
      </w:r>
      <w:r w:rsidRPr="00F33C3F">
        <w:rPr>
          <w:rFonts w:cs="Arial"/>
        </w:rPr>
        <w:t>evel 5, the lessened availability of these products and the increas</w:t>
      </w:r>
      <w:r>
        <w:rPr>
          <w:rFonts w:cs="Arial"/>
        </w:rPr>
        <w:t>ed focus on movement of persons.</w:t>
      </w:r>
    </w:p>
    <w:p w:rsidR="00F33C3F" w:rsidRPr="00F33C3F" w:rsidRDefault="00F33C3F" w:rsidP="001711DF">
      <w:pPr>
        <w:spacing w:before="120" w:after="120" w:line="360" w:lineRule="auto"/>
        <w:ind w:left="720"/>
        <w:rPr>
          <w:rFonts w:cs="Arial"/>
          <w:b/>
          <w:bCs/>
          <w:i/>
          <w:iCs/>
          <w:u w:val="single"/>
        </w:rPr>
      </w:pPr>
      <w:r w:rsidRPr="00F33C3F">
        <w:rPr>
          <w:rFonts w:cs="Arial"/>
          <w:b/>
          <w:bCs/>
          <w:i/>
          <w:iCs/>
          <w:u w:val="single"/>
        </w:rPr>
        <w:t xml:space="preserve">The impact </w:t>
      </w:r>
      <w:proofErr w:type="spellStart"/>
      <w:r w:rsidRPr="00F33C3F">
        <w:rPr>
          <w:rFonts w:cs="Arial"/>
          <w:b/>
          <w:bCs/>
          <w:i/>
          <w:iCs/>
          <w:u w:val="single"/>
        </w:rPr>
        <w:t>Covid</w:t>
      </w:r>
      <w:proofErr w:type="spellEnd"/>
      <w:r w:rsidRPr="00F33C3F">
        <w:rPr>
          <w:rFonts w:cs="Arial"/>
          <w:b/>
          <w:bCs/>
          <w:i/>
          <w:iCs/>
          <w:u w:val="single"/>
        </w:rPr>
        <w:t xml:space="preserve"> 19 had on general Crime in the Bergrivier area</w:t>
      </w:r>
    </w:p>
    <w:p w:rsidR="00F33C3F" w:rsidRPr="00F33C3F" w:rsidRDefault="00F173D7" w:rsidP="001711DF">
      <w:pPr>
        <w:spacing w:before="120" w:after="120" w:line="360" w:lineRule="auto"/>
        <w:ind w:left="720"/>
        <w:jc w:val="both"/>
        <w:rPr>
          <w:rFonts w:cs="Arial"/>
        </w:rPr>
      </w:pPr>
      <w:r>
        <w:rPr>
          <w:rFonts w:cs="Arial"/>
        </w:rPr>
        <w:t>As General C</w:t>
      </w:r>
      <w:r w:rsidR="00F33C3F" w:rsidRPr="00F33C3F">
        <w:rPr>
          <w:rFonts w:cs="Arial"/>
        </w:rPr>
        <w:t>rime is a very wide term</w:t>
      </w:r>
      <w:r>
        <w:rPr>
          <w:rFonts w:cs="Arial"/>
        </w:rPr>
        <w:t>,</w:t>
      </w:r>
      <w:r w:rsidR="00F33C3F" w:rsidRPr="00F33C3F">
        <w:rPr>
          <w:rFonts w:cs="Arial"/>
        </w:rPr>
        <w:t xml:space="preserve"> focus was placed on the priority crimes prevalent in this area. </w:t>
      </w:r>
      <w:r>
        <w:rPr>
          <w:rFonts w:cs="Arial"/>
        </w:rPr>
        <w:t xml:space="preserve"> </w:t>
      </w:r>
      <w:r w:rsidR="00F33C3F" w:rsidRPr="00F33C3F">
        <w:rPr>
          <w:rFonts w:cs="Arial"/>
        </w:rPr>
        <w:t>These crimes include Housebreakings, Assault and Theft.</w:t>
      </w:r>
    </w:p>
    <w:p w:rsidR="00F33C3F" w:rsidRPr="00F33C3F" w:rsidRDefault="00F33C3F" w:rsidP="001711DF">
      <w:pPr>
        <w:spacing w:before="120" w:after="120" w:line="360" w:lineRule="auto"/>
        <w:ind w:left="720"/>
        <w:jc w:val="both"/>
        <w:rPr>
          <w:rFonts w:cs="Arial"/>
        </w:rPr>
      </w:pPr>
      <w:r w:rsidRPr="00F33C3F">
        <w:rPr>
          <w:rFonts w:cs="Arial"/>
          <w:b/>
          <w:bCs/>
        </w:rPr>
        <w:t>Housebreakings</w:t>
      </w:r>
      <w:r w:rsidRPr="00F33C3F">
        <w:rPr>
          <w:rFonts w:cs="Arial"/>
        </w:rPr>
        <w:t>:</w:t>
      </w:r>
    </w:p>
    <w:p w:rsidR="00F33C3F" w:rsidRPr="00F33C3F" w:rsidRDefault="00F33C3F" w:rsidP="001711DF">
      <w:pPr>
        <w:spacing w:before="120" w:after="120" w:line="360" w:lineRule="auto"/>
        <w:ind w:left="720"/>
        <w:jc w:val="both"/>
        <w:rPr>
          <w:rFonts w:cs="Arial"/>
        </w:rPr>
      </w:pPr>
      <w:r w:rsidRPr="00F33C3F">
        <w:rPr>
          <w:rFonts w:cs="Arial"/>
        </w:rPr>
        <w:t>Housebreakings in most of the areas showed a sharp decrease in the beginning of the lockdown period. It is noted however that as the lockdown levels have become less restrictive, the reported housebreaking cases have increased.</w:t>
      </w:r>
      <w:r>
        <w:rPr>
          <w:rFonts w:cs="Arial"/>
        </w:rPr>
        <w:t xml:space="preserve">  </w:t>
      </w:r>
      <w:r w:rsidRPr="00F33C3F">
        <w:rPr>
          <w:rFonts w:cs="Arial"/>
        </w:rPr>
        <w:t>It needs to be mentioned that the area is also affected by the release of offenders on Special Remission during this time.</w:t>
      </w:r>
    </w:p>
    <w:p w:rsidR="00F33C3F" w:rsidRPr="00F33C3F" w:rsidRDefault="00F33C3F" w:rsidP="001711DF">
      <w:pPr>
        <w:spacing w:before="120" w:after="120" w:line="360" w:lineRule="auto"/>
        <w:ind w:left="720"/>
        <w:jc w:val="both"/>
        <w:rPr>
          <w:rFonts w:cs="Arial"/>
          <w:b/>
          <w:bCs/>
        </w:rPr>
      </w:pPr>
      <w:proofErr w:type="gramStart"/>
      <w:r w:rsidRPr="00F33C3F">
        <w:rPr>
          <w:rFonts w:cs="Arial"/>
          <w:b/>
          <w:bCs/>
        </w:rPr>
        <w:t>Assaults :</w:t>
      </w:r>
      <w:proofErr w:type="gramEnd"/>
    </w:p>
    <w:p w:rsidR="00F33C3F" w:rsidRPr="00F33C3F" w:rsidRDefault="00F33C3F" w:rsidP="001711DF">
      <w:pPr>
        <w:spacing w:before="120" w:after="120" w:line="360" w:lineRule="auto"/>
        <w:ind w:left="720"/>
        <w:jc w:val="both"/>
        <w:rPr>
          <w:rFonts w:cs="Arial"/>
        </w:rPr>
      </w:pPr>
      <w:r w:rsidRPr="00F33C3F">
        <w:rPr>
          <w:rFonts w:cs="Arial"/>
        </w:rPr>
        <w:t xml:space="preserve">Assaults in the Bergrivier area generally showed a decrease but as mentioned Domestic Violence </w:t>
      </w:r>
      <w:proofErr w:type="gramStart"/>
      <w:r w:rsidRPr="00F33C3F">
        <w:rPr>
          <w:rFonts w:cs="Arial"/>
        </w:rPr>
        <w:t xml:space="preserve">related </w:t>
      </w:r>
      <w:r>
        <w:rPr>
          <w:rFonts w:cs="Arial"/>
        </w:rPr>
        <w:t xml:space="preserve"> </w:t>
      </w:r>
      <w:r w:rsidRPr="00F33C3F">
        <w:rPr>
          <w:rFonts w:cs="Arial"/>
        </w:rPr>
        <w:t>assaults</w:t>
      </w:r>
      <w:proofErr w:type="gramEnd"/>
      <w:r w:rsidRPr="00F33C3F">
        <w:rPr>
          <w:rFonts w:cs="Arial"/>
        </w:rPr>
        <w:t>/ incidents showed an increase.</w:t>
      </w:r>
    </w:p>
    <w:p w:rsidR="00F33C3F" w:rsidRPr="00F33C3F" w:rsidRDefault="00F33C3F" w:rsidP="001711DF">
      <w:pPr>
        <w:spacing w:before="120" w:after="120" w:line="360" w:lineRule="auto"/>
        <w:ind w:left="720"/>
        <w:rPr>
          <w:rFonts w:cs="Arial"/>
        </w:rPr>
      </w:pPr>
      <w:r w:rsidRPr="00F33C3F">
        <w:rPr>
          <w:rFonts w:cs="Arial"/>
          <w:b/>
          <w:bCs/>
        </w:rPr>
        <w:t>Thefts</w:t>
      </w:r>
      <w:r w:rsidRPr="00F33C3F">
        <w:rPr>
          <w:rFonts w:cs="Arial"/>
        </w:rPr>
        <w:t xml:space="preserve">: </w:t>
      </w:r>
    </w:p>
    <w:p w:rsidR="00F33C3F" w:rsidRPr="00F33C3F" w:rsidRDefault="00F33C3F" w:rsidP="001711DF">
      <w:pPr>
        <w:spacing w:before="120" w:after="120" w:line="360" w:lineRule="auto"/>
        <w:ind w:left="720"/>
        <w:jc w:val="both"/>
        <w:rPr>
          <w:rFonts w:cs="Arial"/>
        </w:rPr>
      </w:pPr>
      <w:r w:rsidRPr="00F33C3F">
        <w:rPr>
          <w:rFonts w:cs="Arial"/>
        </w:rPr>
        <w:t>In the areas of Piket</w:t>
      </w:r>
      <w:r>
        <w:rPr>
          <w:rFonts w:cs="Arial"/>
        </w:rPr>
        <w:t>berg and Porterville, reported t</w:t>
      </w:r>
      <w:r w:rsidRPr="00F33C3F">
        <w:rPr>
          <w:rFonts w:cs="Arial"/>
        </w:rPr>
        <w:t>heft cases showed a decrease in the earlier period of lockdown, yet as Housebreaking it increased during the latter part of lockdown.</w:t>
      </w:r>
      <w:r>
        <w:rPr>
          <w:rFonts w:cs="Arial"/>
        </w:rPr>
        <w:t xml:space="preserve">  </w:t>
      </w:r>
      <w:r w:rsidRPr="00F33C3F">
        <w:rPr>
          <w:rFonts w:cs="Arial"/>
        </w:rPr>
        <w:t xml:space="preserve">Reported cases in the Redelinghuys and </w:t>
      </w:r>
      <w:proofErr w:type="spellStart"/>
      <w:r w:rsidRPr="00F33C3F">
        <w:rPr>
          <w:rFonts w:cs="Arial"/>
        </w:rPr>
        <w:t>Eendekuil</w:t>
      </w:r>
      <w:proofErr w:type="spellEnd"/>
      <w:r w:rsidRPr="00F33C3F">
        <w:rPr>
          <w:rFonts w:cs="Arial"/>
        </w:rPr>
        <w:t xml:space="preserve"> area stabilised.</w:t>
      </w:r>
      <w:r>
        <w:rPr>
          <w:rFonts w:cs="Arial"/>
        </w:rPr>
        <w:t xml:space="preserve">  </w:t>
      </w:r>
      <w:r w:rsidRPr="00F33C3F">
        <w:rPr>
          <w:rFonts w:cs="Arial"/>
        </w:rPr>
        <w:t xml:space="preserve">In the </w:t>
      </w:r>
      <w:proofErr w:type="spellStart"/>
      <w:r w:rsidRPr="00F33C3F">
        <w:rPr>
          <w:rFonts w:cs="Arial"/>
        </w:rPr>
        <w:t>Laaiplek</w:t>
      </w:r>
      <w:proofErr w:type="spellEnd"/>
      <w:r w:rsidRPr="00F33C3F">
        <w:rPr>
          <w:rFonts w:cs="Arial"/>
        </w:rPr>
        <w:t xml:space="preserve"> area reported Theft cases showed an increase in the beginning of the Lockdown period and decreased to the latter period.</w:t>
      </w:r>
      <w:r w:rsidR="001711DF">
        <w:rPr>
          <w:rFonts w:cs="Arial"/>
        </w:rPr>
        <w:t xml:space="preserve">  </w:t>
      </w:r>
      <w:r w:rsidRPr="00F33C3F">
        <w:rPr>
          <w:rFonts w:cs="Arial"/>
        </w:rPr>
        <w:t>Common Robbery cases</w:t>
      </w:r>
      <w:r>
        <w:rPr>
          <w:rFonts w:cs="Arial"/>
        </w:rPr>
        <w:t xml:space="preserve"> reported ve</w:t>
      </w:r>
      <w:r w:rsidR="00F173D7">
        <w:rPr>
          <w:rFonts w:cs="Arial"/>
        </w:rPr>
        <w:t>ry few cases</w:t>
      </w:r>
      <w:r w:rsidRPr="00F33C3F">
        <w:rPr>
          <w:rFonts w:cs="Arial"/>
        </w:rPr>
        <w:t xml:space="preserve"> during this period. </w:t>
      </w:r>
      <w:r>
        <w:rPr>
          <w:rFonts w:cs="Arial"/>
        </w:rPr>
        <w:t xml:space="preserve"> </w:t>
      </w:r>
      <w:r w:rsidRPr="00F33C3F">
        <w:rPr>
          <w:rFonts w:cs="Arial"/>
        </w:rPr>
        <w:t>The lack of reporting does</w:t>
      </w:r>
      <w:r>
        <w:rPr>
          <w:rFonts w:cs="Arial"/>
        </w:rPr>
        <w:t>,</w:t>
      </w:r>
      <w:r w:rsidRPr="00F33C3F">
        <w:rPr>
          <w:rFonts w:cs="Arial"/>
        </w:rPr>
        <w:t xml:space="preserve"> however</w:t>
      </w:r>
      <w:r>
        <w:rPr>
          <w:rFonts w:cs="Arial"/>
        </w:rPr>
        <w:t>,</w:t>
      </w:r>
      <w:r w:rsidRPr="00F33C3F">
        <w:rPr>
          <w:rFonts w:cs="Arial"/>
        </w:rPr>
        <w:t xml:space="preserve"> not mean that these incidents may not have occurred, only that people did not lay criminal cases. </w:t>
      </w:r>
    </w:p>
    <w:p w:rsidR="009C30AB" w:rsidRDefault="008B6030" w:rsidP="008903D3">
      <w:pPr>
        <w:pStyle w:val="Heading2"/>
      </w:pPr>
      <w:bookmarkStart w:id="6" w:name="_Toc46991978"/>
      <w:r>
        <w:t>3.5</w:t>
      </w:r>
      <w:r w:rsidR="009C30AB">
        <w:tab/>
      </w:r>
      <w:r w:rsidR="008903D3">
        <w:t>The Joint District Approach in and for the West Coast</w:t>
      </w:r>
      <w:bookmarkEnd w:id="6"/>
    </w:p>
    <w:p w:rsidR="009C30AB" w:rsidRDefault="009C30AB" w:rsidP="009C30AB">
      <w:pPr>
        <w:pStyle w:val="ListParagraph"/>
        <w:spacing w:before="120" w:after="120" w:line="360" w:lineRule="auto"/>
        <w:ind w:left="0"/>
        <w:jc w:val="both"/>
      </w:pPr>
      <w:r>
        <w:t>It is important to acknowledge the importance of the Joint District Approach also in the implementation of the Economic Recovery Plan for the municipalities and for the district.</w:t>
      </w:r>
    </w:p>
    <w:p w:rsidR="009C30AB" w:rsidRDefault="009C30AB" w:rsidP="009C30AB">
      <w:pPr>
        <w:spacing w:before="120" w:after="120" w:line="360" w:lineRule="auto"/>
        <w:jc w:val="both"/>
      </w:pPr>
      <w:r>
        <w:t>The objectives of the District Development Model within Covid-19 include inter alia the following relevant to the economic recovery plan:</w:t>
      </w:r>
    </w:p>
    <w:p w:rsidR="009C30AB" w:rsidRDefault="009C30AB" w:rsidP="009C30AB">
      <w:pPr>
        <w:pStyle w:val="ListParagraph"/>
        <w:numPr>
          <w:ilvl w:val="0"/>
          <w:numId w:val="8"/>
        </w:numPr>
        <w:spacing w:before="120" w:after="120" w:line="360" w:lineRule="auto"/>
        <w:jc w:val="both"/>
      </w:pPr>
      <w:r>
        <w:t>Foster a practical intergovernmental relations mechanism to plan, budget and implement jointly in order to provide a coherent government (solve silos, duplication and fragmentation); and</w:t>
      </w:r>
    </w:p>
    <w:p w:rsidR="009C30AB" w:rsidRDefault="009C30AB" w:rsidP="009C30AB">
      <w:pPr>
        <w:pStyle w:val="ListParagraph"/>
        <w:numPr>
          <w:ilvl w:val="0"/>
          <w:numId w:val="8"/>
        </w:numPr>
        <w:spacing w:before="120" w:after="120" w:line="360" w:lineRule="auto"/>
        <w:jc w:val="both"/>
      </w:pPr>
      <w:r>
        <w:t>Co</w:t>
      </w:r>
      <w:r w:rsidR="002C68E5">
        <w:t>-</w:t>
      </w:r>
      <w:r>
        <w:t>ordinate a government response to Post Covid-19 challenges to poverty, unemployment and inequality, particularly amongst women, youth and people living with disabilities</w:t>
      </w:r>
    </w:p>
    <w:p w:rsidR="009C30AB" w:rsidRDefault="009C30AB" w:rsidP="002C68E5">
      <w:pPr>
        <w:spacing w:before="120" w:after="120" w:line="360" w:lineRule="auto"/>
        <w:jc w:val="both"/>
      </w:pPr>
      <w:r>
        <w:lastRenderedPageBreak/>
        <w:t>Principles for guiding the Covid-19 District Development Mo</w:t>
      </w:r>
      <w:r w:rsidR="002C68E5">
        <w:t>del approach include inter alia in terms of the economic recovery plan:</w:t>
      </w:r>
    </w:p>
    <w:p w:rsidR="009C30AB" w:rsidRDefault="009C30AB" w:rsidP="009C30AB">
      <w:pPr>
        <w:pStyle w:val="ListParagraph"/>
        <w:numPr>
          <w:ilvl w:val="0"/>
          <w:numId w:val="9"/>
        </w:numPr>
        <w:spacing w:before="120" w:after="120" w:line="360" w:lineRule="auto"/>
        <w:jc w:val="both"/>
      </w:pPr>
      <w:r>
        <w:t>DDM will play a central role of mobilizing state and civil society to respond strategically to Covid-19 with a new economic approach and plan; and</w:t>
      </w:r>
    </w:p>
    <w:p w:rsidR="009C30AB" w:rsidRDefault="009C30AB" w:rsidP="009C30AB">
      <w:pPr>
        <w:pStyle w:val="ListParagraph"/>
        <w:numPr>
          <w:ilvl w:val="0"/>
          <w:numId w:val="9"/>
        </w:numPr>
        <w:spacing w:before="120" w:after="120" w:line="360" w:lineRule="auto"/>
        <w:jc w:val="both"/>
      </w:pPr>
      <w:r>
        <w:t>Use the opportunity that Covid-19 presents to address the two economies (formal and informal</w:t>
      </w:r>
      <w:r w:rsidR="002C68E5">
        <w:t>).</w:t>
      </w:r>
    </w:p>
    <w:p w:rsidR="009C30AB" w:rsidRDefault="002C68E5" w:rsidP="002C68E5">
      <w:pPr>
        <w:spacing w:before="120" w:after="120" w:line="360" w:lineRule="auto"/>
        <w:jc w:val="both"/>
      </w:pPr>
      <w:r>
        <w:t>The focus a</w:t>
      </w:r>
      <w:r w:rsidR="009C30AB">
        <w:t xml:space="preserve">reas and </w:t>
      </w:r>
      <w:r>
        <w:t>key g</w:t>
      </w:r>
      <w:r w:rsidR="009C30AB">
        <w:t xml:space="preserve">eneric </w:t>
      </w:r>
      <w:r>
        <w:t>e</w:t>
      </w:r>
      <w:r w:rsidR="009C30AB">
        <w:t xml:space="preserve">lements of interventions to address the economic and social impact of Covid-19 </w:t>
      </w:r>
      <w:r>
        <w:t xml:space="preserve">in and for the West Coast District collectively and individually for the various municipalities </w:t>
      </w:r>
      <w:r w:rsidR="009C30AB">
        <w:t>include inter alia:</w:t>
      </w:r>
    </w:p>
    <w:tbl>
      <w:tblPr>
        <w:tblStyle w:val="TableGrid"/>
        <w:tblW w:w="5000" w:type="pct"/>
        <w:tblLook w:val="04A0" w:firstRow="1" w:lastRow="0" w:firstColumn="1" w:lastColumn="0" w:noHBand="0" w:noVBand="1"/>
      </w:tblPr>
      <w:tblGrid>
        <w:gridCol w:w="4877"/>
        <w:gridCol w:w="4865"/>
      </w:tblGrid>
      <w:tr w:rsidR="002C68E5" w:rsidRPr="002C68E5" w:rsidTr="009703B1">
        <w:trPr>
          <w:trHeight w:val="506"/>
          <w:tblHeader/>
        </w:trPr>
        <w:tc>
          <w:tcPr>
            <w:tcW w:w="2503" w:type="pct"/>
            <w:shd w:val="clear" w:color="auto" w:fill="2F5496" w:themeFill="accent5" w:themeFillShade="BF"/>
          </w:tcPr>
          <w:p w:rsidR="002C68E5" w:rsidRPr="002C68E5" w:rsidRDefault="002C68E5" w:rsidP="009703B1">
            <w:pPr>
              <w:pStyle w:val="ListParagraph"/>
              <w:spacing w:before="120" w:after="120"/>
              <w:ind w:left="0"/>
              <w:jc w:val="center"/>
              <w:rPr>
                <w:color w:val="FFFFFF" w:themeColor="background1"/>
                <w:sz w:val="20"/>
              </w:rPr>
            </w:pPr>
            <w:r w:rsidRPr="002C68E5">
              <w:rPr>
                <w:color w:val="FFFFFF" w:themeColor="background1"/>
                <w:sz w:val="20"/>
              </w:rPr>
              <w:t>CATEGORY</w:t>
            </w:r>
          </w:p>
        </w:tc>
        <w:tc>
          <w:tcPr>
            <w:tcW w:w="2497" w:type="pct"/>
            <w:shd w:val="clear" w:color="auto" w:fill="2F5496" w:themeFill="accent5" w:themeFillShade="BF"/>
            <w:vAlign w:val="center"/>
          </w:tcPr>
          <w:p w:rsidR="002C68E5" w:rsidRPr="002C68E5" w:rsidRDefault="002C68E5" w:rsidP="009703B1">
            <w:pPr>
              <w:pStyle w:val="ListParagraph"/>
              <w:spacing w:before="120" w:after="120"/>
              <w:ind w:left="0"/>
              <w:jc w:val="center"/>
              <w:rPr>
                <w:color w:val="FFFFFF" w:themeColor="background1"/>
                <w:sz w:val="20"/>
              </w:rPr>
            </w:pPr>
            <w:r w:rsidRPr="002C68E5">
              <w:rPr>
                <w:color w:val="FFFFFF" w:themeColor="background1"/>
                <w:sz w:val="20"/>
              </w:rPr>
              <w:t>DETAIL</w:t>
            </w:r>
          </w:p>
        </w:tc>
      </w:tr>
      <w:tr w:rsidR="009C30AB" w:rsidRPr="002C68E5" w:rsidTr="002C68E5">
        <w:tc>
          <w:tcPr>
            <w:tcW w:w="2503" w:type="pct"/>
            <w:vMerge w:val="restart"/>
            <w:vAlign w:val="center"/>
          </w:tcPr>
          <w:p w:rsidR="009C30AB" w:rsidRPr="002C68E5" w:rsidRDefault="009C30AB" w:rsidP="002C68E5">
            <w:pPr>
              <w:pStyle w:val="ListParagraph"/>
              <w:spacing w:before="120" w:after="120"/>
              <w:ind w:left="0"/>
              <w:rPr>
                <w:sz w:val="20"/>
              </w:rPr>
            </w:pPr>
            <w:r w:rsidRPr="002C68E5">
              <w:rPr>
                <w:sz w:val="20"/>
              </w:rPr>
              <w:t>Mitigation of the impact of loss of hou</w:t>
            </w:r>
            <w:bookmarkStart w:id="7" w:name="_GoBack"/>
            <w:bookmarkEnd w:id="7"/>
            <w:r w:rsidRPr="002C68E5">
              <w:rPr>
                <w:sz w:val="20"/>
              </w:rPr>
              <w:t>sehold incomes, increased poverty and lack of access to services</w:t>
            </w:r>
          </w:p>
        </w:tc>
        <w:tc>
          <w:tcPr>
            <w:tcW w:w="2497" w:type="pct"/>
          </w:tcPr>
          <w:p w:rsidR="009C30AB" w:rsidRPr="001711DF" w:rsidRDefault="009C30AB" w:rsidP="002C68E5">
            <w:pPr>
              <w:pStyle w:val="ListParagraph"/>
              <w:spacing w:before="120" w:after="120"/>
              <w:ind w:left="0"/>
              <w:rPr>
                <w:sz w:val="20"/>
              </w:rPr>
            </w:pPr>
            <w:r w:rsidRPr="001711DF">
              <w:rPr>
                <w:sz w:val="20"/>
              </w:rPr>
              <w:t>Adequate provision of food parcels</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Adequate access to Social Relief for Distress grants</w:t>
            </w:r>
          </w:p>
        </w:tc>
      </w:tr>
      <w:tr w:rsidR="009C30AB" w:rsidRPr="002C68E5" w:rsidTr="002C68E5">
        <w:tc>
          <w:tcPr>
            <w:tcW w:w="2503" w:type="pct"/>
            <w:vMerge w:val="restart"/>
            <w:vAlign w:val="center"/>
          </w:tcPr>
          <w:p w:rsidR="009C30AB" w:rsidRPr="002C68E5" w:rsidRDefault="009C30AB" w:rsidP="002C68E5">
            <w:pPr>
              <w:pStyle w:val="ListParagraph"/>
              <w:spacing w:before="120" w:after="120"/>
              <w:ind w:left="0"/>
              <w:rPr>
                <w:sz w:val="20"/>
              </w:rPr>
            </w:pPr>
            <w:r w:rsidRPr="002C68E5">
              <w:rPr>
                <w:sz w:val="20"/>
              </w:rPr>
              <w:t>Ensuring equitable access to education and online learning</w:t>
            </w:r>
          </w:p>
        </w:tc>
        <w:tc>
          <w:tcPr>
            <w:tcW w:w="2497" w:type="pct"/>
          </w:tcPr>
          <w:p w:rsidR="009C30AB" w:rsidRPr="001711DF" w:rsidRDefault="009C30AB" w:rsidP="002C68E5">
            <w:pPr>
              <w:pStyle w:val="ListParagraph"/>
              <w:spacing w:before="120" w:after="120"/>
              <w:ind w:left="0"/>
              <w:rPr>
                <w:sz w:val="20"/>
              </w:rPr>
            </w:pPr>
            <w:r w:rsidRPr="001711DF">
              <w:rPr>
                <w:sz w:val="20"/>
              </w:rPr>
              <w:t>Schools to be Covid-19 compliant</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Learners to have access to online learning</w:t>
            </w:r>
          </w:p>
        </w:tc>
      </w:tr>
      <w:tr w:rsidR="009C30AB" w:rsidRPr="002C68E5" w:rsidTr="002C68E5">
        <w:tc>
          <w:tcPr>
            <w:tcW w:w="2503" w:type="pct"/>
            <w:vMerge w:val="restart"/>
            <w:vAlign w:val="center"/>
          </w:tcPr>
          <w:p w:rsidR="009C30AB" w:rsidRPr="002C68E5" w:rsidRDefault="009C30AB" w:rsidP="002C68E5">
            <w:pPr>
              <w:pStyle w:val="ListParagraph"/>
              <w:spacing w:before="120" w:after="120"/>
              <w:ind w:left="0"/>
              <w:rPr>
                <w:sz w:val="20"/>
              </w:rPr>
            </w:pPr>
            <w:r w:rsidRPr="002C68E5">
              <w:rPr>
                <w:sz w:val="20"/>
              </w:rPr>
              <w:t>Reducing vulnerability and prioritising the poor</w:t>
            </w:r>
          </w:p>
        </w:tc>
        <w:tc>
          <w:tcPr>
            <w:tcW w:w="2497" w:type="pct"/>
          </w:tcPr>
          <w:p w:rsidR="009C30AB" w:rsidRPr="001711DF" w:rsidRDefault="009C30AB" w:rsidP="002C68E5">
            <w:pPr>
              <w:pStyle w:val="ListParagraph"/>
              <w:spacing w:before="120" w:after="120"/>
              <w:ind w:left="0"/>
              <w:rPr>
                <w:sz w:val="20"/>
              </w:rPr>
            </w:pPr>
            <w:r w:rsidRPr="001711DF">
              <w:rPr>
                <w:sz w:val="20"/>
              </w:rPr>
              <w:t>Adequate provision of homeless shelters</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Interventions for psycho-social support (hotlines, counselling)</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Adequate provision for people with disability</w:t>
            </w:r>
          </w:p>
        </w:tc>
      </w:tr>
      <w:tr w:rsidR="009C30AB" w:rsidRPr="002C68E5" w:rsidTr="002C68E5">
        <w:tc>
          <w:tcPr>
            <w:tcW w:w="2503" w:type="pct"/>
            <w:vMerge w:val="restart"/>
            <w:vAlign w:val="center"/>
          </w:tcPr>
          <w:p w:rsidR="009C30AB" w:rsidRPr="002C68E5" w:rsidRDefault="009C30AB" w:rsidP="002C68E5">
            <w:pPr>
              <w:pStyle w:val="ListParagraph"/>
              <w:spacing w:before="120" w:after="120"/>
              <w:ind w:left="0"/>
              <w:rPr>
                <w:sz w:val="20"/>
              </w:rPr>
            </w:pPr>
            <w:r w:rsidRPr="002C68E5">
              <w:rPr>
                <w:sz w:val="20"/>
              </w:rPr>
              <w:t>Promoting awareness and access to Economic Relief Measures</w:t>
            </w:r>
          </w:p>
        </w:tc>
        <w:tc>
          <w:tcPr>
            <w:tcW w:w="2497" w:type="pct"/>
          </w:tcPr>
          <w:p w:rsidR="009C30AB" w:rsidRPr="001711DF" w:rsidRDefault="009C30AB" w:rsidP="002C68E5">
            <w:pPr>
              <w:pStyle w:val="ListParagraph"/>
              <w:spacing w:before="120" w:after="120"/>
              <w:ind w:left="0"/>
              <w:rPr>
                <w:sz w:val="20"/>
              </w:rPr>
            </w:pPr>
            <w:r w:rsidRPr="001711DF">
              <w:rPr>
                <w:sz w:val="20"/>
              </w:rPr>
              <w:t>Ensure employers/employees have access to UIF Relief Measures</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Are small businesses aware of the Department of Small Business Development Relief Schemes</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Do small businesses need assistance in applying for relief schemes?</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Are small businesses aware and have access to the IDC Economic Relief Facility</w:t>
            </w:r>
          </w:p>
        </w:tc>
      </w:tr>
      <w:tr w:rsidR="009C30AB" w:rsidRPr="002C68E5" w:rsidTr="002C68E5">
        <w:tc>
          <w:tcPr>
            <w:tcW w:w="2503" w:type="pct"/>
            <w:vMerge w:val="restart"/>
            <w:vAlign w:val="center"/>
          </w:tcPr>
          <w:p w:rsidR="009C30AB" w:rsidRPr="002C68E5" w:rsidRDefault="009C30AB" w:rsidP="002C68E5">
            <w:pPr>
              <w:pStyle w:val="ListParagraph"/>
              <w:spacing w:before="120" w:after="120"/>
              <w:ind w:left="0"/>
              <w:rPr>
                <w:sz w:val="20"/>
              </w:rPr>
            </w:pPr>
            <w:r w:rsidRPr="002C68E5">
              <w:rPr>
                <w:sz w:val="20"/>
              </w:rPr>
              <w:t>Economic Recovery Readiness</w:t>
            </w:r>
          </w:p>
        </w:tc>
        <w:tc>
          <w:tcPr>
            <w:tcW w:w="2497" w:type="pct"/>
          </w:tcPr>
          <w:p w:rsidR="009C30AB" w:rsidRPr="001711DF" w:rsidRDefault="009C30AB" w:rsidP="002C68E5">
            <w:pPr>
              <w:pStyle w:val="ListParagraph"/>
              <w:spacing w:before="120" w:after="120"/>
              <w:ind w:left="0"/>
              <w:rPr>
                <w:sz w:val="20"/>
              </w:rPr>
            </w:pPr>
            <w:r w:rsidRPr="001711DF">
              <w:rPr>
                <w:sz w:val="20"/>
              </w:rPr>
              <w:t>What are the key industries that need assistance for recovery</w:t>
            </w:r>
          </w:p>
        </w:tc>
      </w:tr>
      <w:tr w:rsidR="009C30AB" w:rsidRPr="002C68E5" w:rsidTr="002C68E5">
        <w:tc>
          <w:tcPr>
            <w:tcW w:w="2503" w:type="pct"/>
            <w:vMerge/>
          </w:tcPr>
          <w:p w:rsidR="009C30AB" w:rsidRPr="002C68E5" w:rsidRDefault="009C30AB" w:rsidP="002C68E5">
            <w:pPr>
              <w:pStyle w:val="ListParagraph"/>
              <w:spacing w:before="120" w:after="120"/>
              <w:ind w:left="0"/>
              <w:rPr>
                <w:sz w:val="20"/>
              </w:rPr>
            </w:pPr>
          </w:p>
        </w:tc>
        <w:tc>
          <w:tcPr>
            <w:tcW w:w="2497" w:type="pct"/>
          </w:tcPr>
          <w:p w:rsidR="009C30AB" w:rsidRPr="001711DF" w:rsidRDefault="009C30AB" w:rsidP="002C68E5">
            <w:pPr>
              <w:pStyle w:val="ListParagraph"/>
              <w:spacing w:before="120" w:after="120"/>
              <w:ind w:left="0"/>
              <w:rPr>
                <w:sz w:val="20"/>
              </w:rPr>
            </w:pPr>
            <w:r w:rsidRPr="001711DF">
              <w:rPr>
                <w:sz w:val="20"/>
              </w:rPr>
              <w:t>Have key sectors with highest potential to grow the local economy been identified?</w:t>
            </w:r>
          </w:p>
        </w:tc>
      </w:tr>
    </w:tbl>
    <w:p w:rsidR="00D460B3" w:rsidRDefault="00D460B3" w:rsidP="00C51D5C">
      <w:pPr>
        <w:pStyle w:val="ListParagraph"/>
        <w:spacing w:before="120" w:after="120" w:line="360" w:lineRule="auto"/>
        <w:ind w:left="0"/>
        <w:jc w:val="both"/>
      </w:pPr>
      <w:r>
        <w:t>The reality of the above study in practical terms include:</w:t>
      </w:r>
    </w:p>
    <w:p w:rsidR="0040742D" w:rsidRDefault="0040742D" w:rsidP="0040742D">
      <w:pPr>
        <w:pStyle w:val="ListParagraph"/>
        <w:numPr>
          <w:ilvl w:val="0"/>
          <w:numId w:val="20"/>
        </w:numPr>
        <w:spacing w:before="120" w:after="120" w:line="360" w:lineRule="auto"/>
        <w:jc w:val="both"/>
      </w:pPr>
      <w:r>
        <w:t>92 % of SMME business operations have been impacted by Covid-19;</w:t>
      </w:r>
    </w:p>
    <w:p w:rsidR="00D460B3" w:rsidRDefault="0040742D" w:rsidP="0040742D">
      <w:pPr>
        <w:pStyle w:val="ListParagraph"/>
        <w:numPr>
          <w:ilvl w:val="0"/>
          <w:numId w:val="20"/>
        </w:numPr>
        <w:spacing w:before="120" w:after="120" w:line="360" w:lineRule="auto"/>
        <w:jc w:val="both"/>
      </w:pPr>
      <w:r>
        <w:t>Over 55 000 SMME’s in SA will not survive the pandemic;</w:t>
      </w:r>
    </w:p>
    <w:p w:rsidR="0040742D" w:rsidRDefault="0040742D" w:rsidP="0040742D">
      <w:pPr>
        <w:pStyle w:val="ListParagraph"/>
        <w:numPr>
          <w:ilvl w:val="0"/>
          <w:numId w:val="20"/>
        </w:numPr>
        <w:spacing w:before="120" w:after="120" w:line="360" w:lineRule="auto"/>
        <w:jc w:val="both"/>
      </w:pPr>
      <w:r>
        <w:t>The travel restrictions, the inability to interact with clients face to face and the cancellations of engagements have had the greatest impact on businesses;</w:t>
      </w:r>
    </w:p>
    <w:p w:rsidR="0040742D" w:rsidRDefault="0040742D" w:rsidP="0040742D">
      <w:pPr>
        <w:pStyle w:val="ListParagraph"/>
        <w:numPr>
          <w:ilvl w:val="0"/>
          <w:numId w:val="20"/>
        </w:numPr>
        <w:spacing w:before="120" w:after="120" w:line="360" w:lineRule="auto"/>
        <w:jc w:val="both"/>
      </w:pPr>
      <w:r>
        <w:t>71 % of SMME businesses do not have enough cash to keep their business operational in the next 3 months;</w:t>
      </w:r>
    </w:p>
    <w:p w:rsidR="0040742D" w:rsidRDefault="0040742D" w:rsidP="0040742D">
      <w:pPr>
        <w:pStyle w:val="ListParagraph"/>
        <w:numPr>
          <w:ilvl w:val="0"/>
          <w:numId w:val="20"/>
        </w:numPr>
        <w:spacing w:before="120" w:after="120" w:line="360" w:lineRule="auto"/>
        <w:jc w:val="both"/>
      </w:pPr>
      <w:r>
        <w:t>The retail/trade, construction and general services sectors reflect that just 50 % of these businesses expect to generate no revenue in the next 3 – 6 months;</w:t>
      </w:r>
    </w:p>
    <w:p w:rsidR="0040742D" w:rsidRDefault="0040742D" w:rsidP="0040742D">
      <w:pPr>
        <w:pStyle w:val="ListParagraph"/>
        <w:numPr>
          <w:ilvl w:val="0"/>
          <w:numId w:val="20"/>
        </w:numPr>
        <w:spacing w:before="120" w:after="120" w:line="360" w:lineRule="auto"/>
        <w:jc w:val="both"/>
      </w:pPr>
      <w:r>
        <w:lastRenderedPageBreak/>
        <w:t>Telecommuting and online learning will increase, thus disrupting offerings in many sectors;</w:t>
      </w:r>
    </w:p>
    <w:p w:rsidR="0040742D" w:rsidRDefault="0040742D" w:rsidP="0040742D">
      <w:pPr>
        <w:pStyle w:val="ListParagraph"/>
        <w:numPr>
          <w:ilvl w:val="0"/>
          <w:numId w:val="20"/>
        </w:numPr>
        <w:spacing w:before="120" w:after="120" w:line="360" w:lineRule="auto"/>
        <w:jc w:val="both"/>
      </w:pPr>
      <w:r>
        <w:t>There will be an increased confidence in technology as an enabler to most of our daily activities, namely improved FinTech and EdTech solutions;</w:t>
      </w:r>
    </w:p>
    <w:p w:rsidR="0040742D" w:rsidRDefault="0040742D" w:rsidP="0040742D">
      <w:pPr>
        <w:pStyle w:val="ListParagraph"/>
        <w:numPr>
          <w:ilvl w:val="0"/>
          <w:numId w:val="20"/>
        </w:numPr>
        <w:spacing w:before="120" w:after="120" w:line="360" w:lineRule="auto"/>
        <w:jc w:val="both"/>
      </w:pPr>
      <w:r>
        <w:t>Innovative Start-Ups will be on the rise as they seek to leverage the disruption created by the pandemic, such a no-contact deliveries, artificial intelligence and big data analytics;</w:t>
      </w:r>
    </w:p>
    <w:p w:rsidR="0040742D" w:rsidRDefault="0040742D" w:rsidP="0040742D">
      <w:pPr>
        <w:pStyle w:val="ListParagraph"/>
        <w:numPr>
          <w:ilvl w:val="0"/>
          <w:numId w:val="20"/>
        </w:numPr>
        <w:spacing w:before="120" w:after="120" w:line="360" w:lineRule="auto"/>
        <w:jc w:val="both"/>
      </w:pPr>
      <w:r>
        <w:t>More businesses will opt for co-working spaces and virtual working;</w:t>
      </w:r>
    </w:p>
    <w:p w:rsidR="0040742D" w:rsidRDefault="0040742D" w:rsidP="0040742D">
      <w:pPr>
        <w:pStyle w:val="ListParagraph"/>
        <w:numPr>
          <w:ilvl w:val="0"/>
          <w:numId w:val="20"/>
        </w:numPr>
        <w:spacing w:before="120" w:after="120" w:line="360" w:lineRule="auto"/>
        <w:jc w:val="both"/>
      </w:pPr>
      <w:r>
        <w:t>There will be a social change where the private and public sector will invest more in underserved communities by improving telecoms infrastructure, basic services and making hygiene practice part of our daily lives</w:t>
      </w:r>
      <w:r w:rsidR="00233B7D">
        <w:t>.</w:t>
      </w:r>
    </w:p>
    <w:p w:rsidR="001F3378" w:rsidRDefault="00A9319E" w:rsidP="008903D3">
      <w:pPr>
        <w:pStyle w:val="Heading1"/>
      </w:pPr>
      <w:bookmarkStart w:id="8" w:name="_Toc46991979"/>
      <w:r>
        <w:t>4.</w:t>
      </w:r>
      <w:r w:rsidR="009C30AB">
        <w:t xml:space="preserve"> POTENTIAL SHORT-, MEDIUM AND LONG TERM INTERVENTIO</w:t>
      </w:r>
      <w:r w:rsidR="008903D3">
        <w:t>NS IN THE ECONOMIC RECOVERY</w:t>
      </w:r>
      <w:r w:rsidR="009C30AB">
        <w:t xml:space="preserve"> FOR BERGRIVIER MUNICIPALITY</w:t>
      </w:r>
      <w:bookmarkEnd w:id="8"/>
    </w:p>
    <w:p w:rsidR="001F3378" w:rsidRDefault="009C30AB" w:rsidP="008903D3">
      <w:pPr>
        <w:pStyle w:val="Heading2"/>
      </w:pPr>
      <w:bookmarkStart w:id="9" w:name="_Toc46991980"/>
      <w:r>
        <w:t>4.1</w:t>
      </w:r>
      <w:r>
        <w:tab/>
        <w:t>Points of Departure</w:t>
      </w:r>
      <w:bookmarkEnd w:id="9"/>
    </w:p>
    <w:p w:rsidR="009C30AB" w:rsidRDefault="009C30AB" w:rsidP="00A9319E">
      <w:pPr>
        <w:pStyle w:val="ListParagraph"/>
        <w:spacing w:before="120" w:after="120" w:line="360" w:lineRule="auto"/>
        <w:jc w:val="both"/>
      </w:pPr>
      <w:r>
        <w:t>The following points of departure are important in the identification of potential interventions</w:t>
      </w:r>
      <w:r w:rsidR="005E4297">
        <w:t xml:space="preserve"> for the economic recovery of Bergrivier Municipal Area</w:t>
      </w:r>
      <w:r>
        <w:t>:</w:t>
      </w:r>
    </w:p>
    <w:p w:rsidR="009C30AB" w:rsidRDefault="009C30AB" w:rsidP="00A9319E">
      <w:pPr>
        <w:pStyle w:val="ListParagraph"/>
        <w:numPr>
          <w:ilvl w:val="0"/>
          <w:numId w:val="18"/>
        </w:numPr>
        <w:spacing w:before="120" w:after="120" w:line="360" w:lineRule="auto"/>
        <w:jc w:val="both"/>
      </w:pPr>
      <w:r>
        <w:t>All interventions must be realistic and implementable to have an impact;</w:t>
      </w:r>
    </w:p>
    <w:p w:rsidR="00A9319E" w:rsidRDefault="00A9319E" w:rsidP="00A9319E">
      <w:pPr>
        <w:pStyle w:val="ListParagraph"/>
        <w:numPr>
          <w:ilvl w:val="0"/>
          <w:numId w:val="18"/>
        </w:numPr>
        <w:spacing w:before="120" w:after="120" w:line="360" w:lineRule="auto"/>
        <w:jc w:val="both"/>
      </w:pPr>
      <w:r>
        <w:t>Distinguish between short-, medium and long term interventions;</w:t>
      </w:r>
    </w:p>
    <w:p w:rsidR="005E4297" w:rsidRDefault="005E4297" w:rsidP="00A9319E">
      <w:pPr>
        <w:pStyle w:val="ListParagraph"/>
        <w:numPr>
          <w:ilvl w:val="0"/>
          <w:numId w:val="18"/>
        </w:numPr>
        <w:spacing w:before="120" w:after="120" w:line="360" w:lineRule="auto"/>
        <w:jc w:val="both"/>
      </w:pPr>
      <w:r>
        <w:t>Support worst-affected sectors;</w:t>
      </w:r>
    </w:p>
    <w:p w:rsidR="005E4297" w:rsidRDefault="005E4297" w:rsidP="00A9319E">
      <w:pPr>
        <w:pStyle w:val="ListParagraph"/>
        <w:numPr>
          <w:ilvl w:val="0"/>
          <w:numId w:val="18"/>
        </w:numPr>
        <w:spacing w:before="120" w:after="120" w:line="360" w:lineRule="auto"/>
        <w:jc w:val="both"/>
      </w:pPr>
      <w:r>
        <w:t>Be responsive to businesses in crisis through information, communication, guidance, support to access funding and advocacy;</w:t>
      </w:r>
    </w:p>
    <w:p w:rsidR="005E4297" w:rsidRDefault="005E4297" w:rsidP="00A9319E">
      <w:pPr>
        <w:pStyle w:val="ListParagraph"/>
        <w:numPr>
          <w:ilvl w:val="0"/>
          <w:numId w:val="18"/>
        </w:numPr>
        <w:spacing w:before="120" w:after="120" w:line="360" w:lineRule="auto"/>
        <w:jc w:val="both"/>
      </w:pPr>
      <w:r>
        <w:t>Government does not have the fiscal space to effect the economic plan and it requires other stakeholders and resources from private sector to contribute;</w:t>
      </w:r>
    </w:p>
    <w:p w:rsidR="005E4297" w:rsidRDefault="005E4297" w:rsidP="00A9319E">
      <w:pPr>
        <w:pStyle w:val="ListParagraph"/>
        <w:numPr>
          <w:ilvl w:val="0"/>
          <w:numId w:val="18"/>
        </w:numPr>
        <w:spacing w:before="120" w:after="120" w:line="360" w:lineRule="auto"/>
        <w:jc w:val="both"/>
      </w:pPr>
      <w:r>
        <w:t xml:space="preserve">A whole of government approach will </w:t>
      </w:r>
      <w:r w:rsidR="009703B1">
        <w:t>be needed in the fight against C</w:t>
      </w:r>
      <w:r>
        <w:t>ovid-19 and it is important for an integrated aligned approach that will include</w:t>
      </w:r>
    </w:p>
    <w:p w:rsidR="005E4297" w:rsidRDefault="005E4297" w:rsidP="00A9319E">
      <w:pPr>
        <w:pStyle w:val="ListParagraph"/>
        <w:numPr>
          <w:ilvl w:val="0"/>
          <w:numId w:val="19"/>
        </w:numPr>
        <w:spacing w:before="120" w:after="120" w:line="360" w:lineRule="auto"/>
        <w:jc w:val="both"/>
      </w:pPr>
      <w:r>
        <w:t>Health</w:t>
      </w:r>
    </w:p>
    <w:p w:rsidR="005E4297" w:rsidRDefault="005E4297" w:rsidP="00A9319E">
      <w:pPr>
        <w:pStyle w:val="ListParagraph"/>
        <w:numPr>
          <w:ilvl w:val="0"/>
          <w:numId w:val="19"/>
        </w:numPr>
        <w:spacing w:before="120" w:after="120" w:line="360" w:lineRule="auto"/>
        <w:jc w:val="both"/>
      </w:pPr>
      <w:r>
        <w:t>Social support</w:t>
      </w:r>
    </w:p>
    <w:p w:rsidR="005E4297" w:rsidRDefault="005E4297" w:rsidP="00A9319E">
      <w:pPr>
        <w:pStyle w:val="ListParagraph"/>
        <w:numPr>
          <w:ilvl w:val="0"/>
          <w:numId w:val="19"/>
        </w:numPr>
        <w:spacing w:before="120" w:after="120" w:line="360" w:lineRule="auto"/>
        <w:jc w:val="both"/>
      </w:pPr>
      <w:r>
        <w:t>Economy</w:t>
      </w:r>
    </w:p>
    <w:p w:rsidR="005E4297" w:rsidRDefault="005E4297" w:rsidP="00A9319E">
      <w:pPr>
        <w:pStyle w:val="ListParagraph"/>
        <w:numPr>
          <w:ilvl w:val="0"/>
          <w:numId w:val="19"/>
        </w:numPr>
        <w:spacing w:before="120" w:after="120" w:line="360" w:lineRule="auto"/>
        <w:jc w:val="both"/>
      </w:pPr>
      <w:r>
        <w:t>Water, Sanitation and Human Settlements</w:t>
      </w:r>
    </w:p>
    <w:p w:rsidR="005E4297" w:rsidRDefault="005E4297" w:rsidP="00A9319E">
      <w:pPr>
        <w:pStyle w:val="ListParagraph"/>
        <w:numPr>
          <w:ilvl w:val="0"/>
          <w:numId w:val="19"/>
        </w:numPr>
        <w:spacing w:before="120" w:after="120" w:line="360" w:lineRule="auto"/>
        <w:jc w:val="both"/>
      </w:pPr>
      <w:r>
        <w:t>Transport</w:t>
      </w:r>
    </w:p>
    <w:p w:rsidR="005E4297" w:rsidRDefault="005E4297" w:rsidP="00A9319E">
      <w:pPr>
        <w:pStyle w:val="ListParagraph"/>
        <w:numPr>
          <w:ilvl w:val="0"/>
          <w:numId w:val="19"/>
        </w:numPr>
        <w:spacing w:before="120" w:after="120" w:line="360" w:lineRule="auto"/>
        <w:jc w:val="both"/>
      </w:pPr>
      <w:r>
        <w:t>R</w:t>
      </w:r>
      <w:r w:rsidR="00233B7D">
        <w:t xml:space="preserve">esource Management, especially </w:t>
      </w:r>
      <w:r>
        <w:t>finance and human resources</w:t>
      </w:r>
    </w:p>
    <w:p w:rsidR="005E4297" w:rsidRDefault="005E4297" w:rsidP="00A9319E">
      <w:pPr>
        <w:pStyle w:val="ListParagraph"/>
        <w:numPr>
          <w:ilvl w:val="0"/>
          <w:numId w:val="19"/>
        </w:numPr>
        <w:spacing w:before="120" w:after="120" w:line="360" w:lineRule="auto"/>
        <w:jc w:val="both"/>
      </w:pPr>
      <w:r>
        <w:t>Safety and Security</w:t>
      </w:r>
    </w:p>
    <w:p w:rsidR="005E4297" w:rsidRDefault="005E4297" w:rsidP="00A9319E">
      <w:pPr>
        <w:pStyle w:val="ListParagraph"/>
        <w:numPr>
          <w:ilvl w:val="0"/>
          <w:numId w:val="19"/>
        </w:numPr>
        <w:spacing w:before="120" w:after="120" w:line="360" w:lineRule="auto"/>
        <w:jc w:val="both"/>
      </w:pPr>
      <w:r>
        <w:t>Communication</w:t>
      </w:r>
    </w:p>
    <w:p w:rsidR="005E4297" w:rsidRDefault="00A9319E" w:rsidP="00F20F6C">
      <w:pPr>
        <w:spacing w:before="120" w:after="120" w:line="360" w:lineRule="auto"/>
        <w:ind w:left="720"/>
        <w:jc w:val="both"/>
      </w:pPr>
      <w:r>
        <w:t>Eventually what needs to be achieved in the Bergrivier Municipal Area for all would be:</w:t>
      </w:r>
    </w:p>
    <w:p w:rsidR="00A9319E" w:rsidRDefault="00A9319E" w:rsidP="00A9319E">
      <w:pPr>
        <w:pStyle w:val="ListParagraph"/>
        <w:numPr>
          <w:ilvl w:val="0"/>
          <w:numId w:val="14"/>
        </w:numPr>
        <w:spacing w:before="120" w:after="120" w:line="360" w:lineRule="auto"/>
      </w:pPr>
      <w:r>
        <w:t>High levels of employment;</w:t>
      </w:r>
    </w:p>
    <w:p w:rsidR="00A9319E" w:rsidRDefault="00A9319E" w:rsidP="00A9319E">
      <w:pPr>
        <w:pStyle w:val="ListParagraph"/>
        <w:numPr>
          <w:ilvl w:val="0"/>
          <w:numId w:val="14"/>
        </w:numPr>
        <w:spacing w:before="120" w:after="120" w:line="360" w:lineRule="auto"/>
      </w:pPr>
      <w:r>
        <w:t>Low levels of inequality;</w:t>
      </w:r>
    </w:p>
    <w:p w:rsidR="00A9319E" w:rsidRDefault="00A9319E" w:rsidP="00A9319E">
      <w:pPr>
        <w:pStyle w:val="ListParagraph"/>
        <w:numPr>
          <w:ilvl w:val="0"/>
          <w:numId w:val="14"/>
        </w:numPr>
        <w:spacing w:before="120" w:after="120" w:line="360" w:lineRule="auto"/>
      </w:pPr>
      <w:r>
        <w:lastRenderedPageBreak/>
        <w:t>Low levels of poverty;</w:t>
      </w:r>
    </w:p>
    <w:p w:rsidR="00A9319E" w:rsidRDefault="00A9319E" w:rsidP="00A9319E">
      <w:pPr>
        <w:pStyle w:val="ListParagraph"/>
        <w:numPr>
          <w:ilvl w:val="0"/>
          <w:numId w:val="14"/>
        </w:numPr>
        <w:spacing w:before="120" w:after="120" w:line="360" w:lineRule="auto"/>
      </w:pPr>
      <w:r>
        <w:t>Low levels of debt and high savings;</w:t>
      </w:r>
    </w:p>
    <w:p w:rsidR="00A9319E" w:rsidRDefault="00A9319E" w:rsidP="00A9319E">
      <w:pPr>
        <w:pStyle w:val="ListParagraph"/>
        <w:numPr>
          <w:ilvl w:val="0"/>
          <w:numId w:val="14"/>
        </w:numPr>
        <w:spacing w:before="120" w:after="120" w:line="360" w:lineRule="auto"/>
      </w:pPr>
      <w:r>
        <w:t>High life expectancy;</w:t>
      </w:r>
    </w:p>
    <w:p w:rsidR="00A9319E" w:rsidRDefault="00A9319E" w:rsidP="00A9319E">
      <w:pPr>
        <w:pStyle w:val="ListParagraph"/>
        <w:numPr>
          <w:ilvl w:val="0"/>
          <w:numId w:val="14"/>
        </w:numPr>
        <w:spacing w:before="120" w:after="120" w:line="360" w:lineRule="auto"/>
      </w:pPr>
      <w:r>
        <w:t>Low levels of impact on the environment;</w:t>
      </w:r>
    </w:p>
    <w:p w:rsidR="00A9319E" w:rsidRDefault="00A9319E" w:rsidP="00A9319E">
      <w:pPr>
        <w:pStyle w:val="ListParagraph"/>
        <w:numPr>
          <w:ilvl w:val="0"/>
          <w:numId w:val="14"/>
        </w:numPr>
        <w:spacing w:before="120" w:after="120" w:line="360" w:lineRule="auto"/>
      </w:pPr>
      <w:r>
        <w:t>Very little crime;</w:t>
      </w:r>
    </w:p>
    <w:p w:rsidR="00A9319E" w:rsidRDefault="00A9319E" w:rsidP="00A9319E">
      <w:pPr>
        <w:pStyle w:val="ListParagraph"/>
        <w:numPr>
          <w:ilvl w:val="0"/>
          <w:numId w:val="14"/>
        </w:numPr>
        <w:spacing w:before="120" w:after="120" w:line="360" w:lineRule="auto"/>
      </w:pPr>
      <w:r>
        <w:t>High levels of social cohesion; and</w:t>
      </w:r>
    </w:p>
    <w:p w:rsidR="00A9319E" w:rsidRDefault="00A9319E" w:rsidP="00A9319E">
      <w:pPr>
        <w:pStyle w:val="ListParagraph"/>
        <w:numPr>
          <w:ilvl w:val="0"/>
          <w:numId w:val="14"/>
        </w:numPr>
        <w:spacing w:before="120" w:after="120" w:line="360" w:lineRule="auto"/>
      </w:pPr>
      <w:r>
        <w:t>High standards of quality of life for everyone</w:t>
      </w:r>
    </w:p>
    <w:p w:rsidR="00147915" w:rsidRDefault="008903D3" w:rsidP="008903D3">
      <w:pPr>
        <w:pStyle w:val="Heading2"/>
      </w:pPr>
      <w:bookmarkStart w:id="10" w:name="_Toc46991981"/>
      <w:r>
        <w:t xml:space="preserve">4.2 </w:t>
      </w:r>
      <w:r w:rsidR="00441ED7">
        <w:tab/>
      </w:r>
      <w:r>
        <w:t>Practical implementation plans for Bergrivier Municipal Area</w:t>
      </w:r>
      <w:bookmarkEnd w:id="10"/>
    </w:p>
    <w:p w:rsidR="009345B4" w:rsidRDefault="008903D3" w:rsidP="008903D3">
      <w:pPr>
        <w:pStyle w:val="Heading3"/>
      </w:pPr>
      <w:bookmarkStart w:id="11" w:name="_Toc46991982"/>
      <w:r>
        <w:t xml:space="preserve">4.2.1 </w:t>
      </w:r>
      <w:r w:rsidR="009345B4">
        <w:t>Impact per sector</w:t>
      </w:r>
      <w:bookmarkEnd w:id="11"/>
    </w:p>
    <w:p w:rsidR="000A17DB" w:rsidRDefault="00B8181F" w:rsidP="008903D3">
      <w:pPr>
        <w:spacing w:before="120" w:after="120" w:line="360" w:lineRule="auto"/>
        <w:ind w:left="720"/>
        <w:jc w:val="both"/>
      </w:pPr>
      <w:r>
        <w:t>The sectors where GVA will be hit hardest by the lockdown restrictions is tourism (84.1 %), construction (40.7 %), mining (20.1 %) and transport and telecoms (15.3 %).  The majority job losses will come from tourism (60 %), construction (25.9 %) and informal sectors (12.7 %).</w:t>
      </w:r>
      <w:r w:rsidR="000A17DB">
        <w:t xml:space="preserve">  It is estimated that in the first 2 months of the lockdown, total GVA output will decline by 3,9 %, 3 – 6 months an additional 4.7 % decline and 7 – 12 months an additional 4.1 % decline.  The total decline for the 12-month period will be 12.7 %.  Months 13 – 24 post-lockdown will still be 4.8 % lower than its 2019 pre-lockdown level.</w:t>
      </w:r>
    </w:p>
    <w:p w:rsidR="009345B4" w:rsidRDefault="000A17DB" w:rsidP="008903D3">
      <w:pPr>
        <w:spacing w:before="120" w:after="120" w:line="360" w:lineRule="auto"/>
        <w:ind w:left="720"/>
        <w:jc w:val="both"/>
      </w:pPr>
      <w:r>
        <w:t>Within the first 2 months of lockdown, total employment declined by 1.6 %, months 3 – 6 an additional 3.2 % and months 7 – 12 a further decline of 3.</w:t>
      </w:r>
      <w:r w:rsidR="00233B7D">
        <w:t>4 % in employment.  In</w:t>
      </w:r>
      <w:r>
        <w:t xml:space="preserve"> </w:t>
      </w:r>
      <w:r w:rsidR="00441ED7">
        <w:t>month’s</w:t>
      </w:r>
      <w:r>
        <w:t xml:space="preserve"> 13 – 24 post-lockdown, employment will still be 2.6 % lower than its 2019 </w:t>
      </w:r>
      <w:r w:rsidR="00441ED7">
        <w:t>level. The</w:t>
      </w:r>
      <w:r w:rsidR="009345B4">
        <w:t xml:space="preserve"> following is a brief discussion of the sectoral implications of Covid-19 and the subsequent lockdown:</w:t>
      </w:r>
    </w:p>
    <w:p w:rsidR="009345B4" w:rsidRDefault="00233B7D" w:rsidP="00233B7D">
      <w:pPr>
        <w:pStyle w:val="Heading4"/>
      </w:pPr>
      <w:r>
        <w:t>4.2.1.1</w:t>
      </w:r>
      <w:r>
        <w:tab/>
      </w:r>
      <w:r w:rsidR="009345B4">
        <w:t>Financial and Business Sector</w:t>
      </w:r>
    </w:p>
    <w:p w:rsidR="009345B4" w:rsidRDefault="009345B4" w:rsidP="009052BF">
      <w:pPr>
        <w:spacing w:before="120" w:after="120" w:line="360" w:lineRule="auto"/>
        <w:ind w:left="720"/>
        <w:jc w:val="both"/>
      </w:pPr>
      <w:r>
        <w:t>This sector will probably feel the effects either at a later stage or to a lesser degree than a number of the other sectors.  Most of the daily operations in this sector could be done remotely and most of these w</w:t>
      </w:r>
      <w:r w:rsidR="00921883">
        <w:t>e</w:t>
      </w:r>
      <w:r>
        <w:t>re also termed as essential services.  Although they may not be exempt from job losses, the sector will be able to bounce back quicker due to their very nature.  The sector may be under strain due to the clientele not being able to service their debts and cancel their insurances.  The pressure may also be on the homeowners being forced to sell their property and even landlords and property owners may be pressured to provide relief for tenants, including business tenants.</w:t>
      </w:r>
    </w:p>
    <w:p w:rsidR="000A17DB" w:rsidRDefault="00233B7D" w:rsidP="00233B7D">
      <w:pPr>
        <w:pStyle w:val="Heading4"/>
      </w:pPr>
      <w:r>
        <w:t>4.2.1.2</w:t>
      </w:r>
      <w:r>
        <w:tab/>
      </w:r>
      <w:r w:rsidR="000A17DB">
        <w:t>Trade Sector</w:t>
      </w:r>
    </w:p>
    <w:p w:rsidR="000A17DB" w:rsidRDefault="000A17DB" w:rsidP="000A17DB">
      <w:pPr>
        <w:spacing w:before="120" w:after="120" w:line="360" w:lineRule="auto"/>
        <w:ind w:left="720"/>
        <w:jc w:val="both"/>
      </w:pPr>
      <w:r>
        <w:t>The trade sector (wholesale, retail, catering and accommodation) suffered significantly under the Covid-19 restrictions, with non-essential retailers having to close down.  Losses in household income further reduces the demand for this sector’s goods and services.  The impact of Covid-19 is expected to strip R 141 386 million off this sector and presents a 13.2 % contraction i.t.o GVA.</w:t>
      </w:r>
    </w:p>
    <w:p w:rsidR="009345B4" w:rsidRDefault="00233B7D" w:rsidP="00233B7D">
      <w:pPr>
        <w:pStyle w:val="Heading4"/>
      </w:pPr>
      <w:r>
        <w:lastRenderedPageBreak/>
        <w:t>4.2.1.3</w:t>
      </w:r>
      <w:r>
        <w:tab/>
      </w:r>
      <w:r w:rsidR="009345B4">
        <w:t>Tourism Sector</w:t>
      </w:r>
    </w:p>
    <w:p w:rsidR="000A17DB" w:rsidRDefault="00C074BA" w:rsidP="009052BF">
      <w:pPr>
        <w:spacing w:before="120" w:after="120" w:line="360" w:lineRule="auto"/>
        <w:ind w:left="720"/>
        <w:jc w:val="both"/>
      </w:pPr>
      <w:r>
        <w:t xml:space="preserve">The </w:t>
      </w:r>
      <w:r w:rsidR="000A17DB">
        <w:t xml:space="preserve">tourism </w:t>
      </w:r>
      <w:r>
        <w:t xml:space="preserve">industry that was the hardest hit in the Bergrivier Municipal Area is the tourism sector.  Lower visitor numbers, both national and international, had a direct impact on the accommodation and restaurant industry and could be devastating if the lockdown on the tourism industry continues for much longer.  Indications are that the typical tourist may only be willing to travel again from July 2021 or even later, meaning that the expected occupancy for the traditional high season may also be impacted upon.  </w:t>
      </w:r>
      <w:r w:rsidR="00301F89">
        <w:t>Travelling cost (especially flight tickets) may become more expensive.  Even after lockdown, there will be restrictive measures to enforce social distancing and limit crowds.  This could impact on restaurant capacity limitations.</w:t>
      </w:r>
      <w:r w:rsidR="009052BF">
        <w:t xml:space="preserve">  </w:t>
      </w:r>
      <w:r w:rsidR="000A17DB">
        <w:t xml:space="preserve">Tourism is likely to recover only 50 % of </w:t>
      </w:r>
      <w:r w:rsidR="00441ED7">
        <w:t>its</w:t>
      </w:r>
      <w:r w:rsidR="000A17DB">
        <w:t xml:space="preserve"> 2019 GVA value within the 13 – 24 months period after lockdown and only 24 % of its 2019 employment figure.</w:t>
      </w:r>
    </w:p>
    <w:p w:rsidR="009052BF" w:rsidRDefault="009052BF" w:rsidP="009052BF">
      <w:pPr>
        <w:spacing w:before="120" w:after="120" w:line="360" w:lineRule="auto"/>
        <w:ind w:left="720"/>
        <w:jc w:val="both"/>
      </w:pPr>
      <w:r>
        <w:t>Virtual meetings are currently being held with the tourism offices as to determine whether some businesses may close and the interventions required to ensure that Bergrivier tourism is ready after lockdown.</w:t>
      </w:r>
    </w:p>
    <w:p w:rsidR="009345B4" w:rsidRDefault="00233B7D" w:rsidP="00233B7D">
      <w:pPr>
        <w:pStyle w:val="Heading4"/>
      </w:pPr>
      <w:r>
        <w:t>4.2.1.4</w:t>
      </w:r>
      <w:r>
        <w:tab/>
      </w:r>
      <w:r w:rsidR="009345B4">
        <w:t>Construction Sector</w:t>
      </w:r>
    </w:p>
    <w:p w:rsidR="00CF7A91" w:rsidRDefault="00CF7A91" w:rsidP="00CF7A91">
      <w:pPr>
        <w:spacing w:before="120" w:after="120" w:line="360" w:lineRule="auto"/>
        <w:ind w:left="720"/>
        <w:jc w:val="both"/>
      </w:pPr>
      <w:r>
        <w:t>This sector has been hit hard by the lockdown and may take a considerable period t</w:t>
      </w:r>
      <w:r w:rsidR="00230AFB">
        <w:t xml:space="preserve">o recover.  However, </w:t>
      </w:r>
      <w:r>
        <w:t>parts of this industry have been regarded as essential services and could therefore operate during lockdown, and include especially repairs and maintenance and municipal programme.</w:t>
      </w:r>
      <w:r w:rsidR="009052BF">
        <w:t xml:space="preserve">  Discussions with DEDAT and Saldanha IDZ are currently being held to determine the potential opportunities for Velddrif businesses in the Saldanha IDZ.</w:t>
      </w:r>
    </w:p>
    <w:p w:rsidR="00CF7A91" w:rsidRDefault="00233B7D" w:rsidP="00233B7D">
      <w:pPr>
        <w:pStyle w:val="Heading4"/>
      </w:pPr>
      <w:r>
        <w:t>4.2.1.5</w:t>
      </w:r>
      <w:r>
        <w:tab/>
      </w:r>
      <w:r w:rsidR="00995657">
        <w:t>Agriculture and fisheries</w:t>
      </w:r>
    </w:p>
    <w:p w:rsidR="00995657" w:rsidRDefault="00995657" w:rsidP="00995657">
      <w:pPr>
        <w:spacing w:before="120" w:after="120" w:line="360" w:lineRule="auto"/>
        <w:ind w:left="720"/>
        <w:jc w:val="both"/>
      </w:pPr>
      <w:r>
        <w:t xml:space="preserve">Although the effects of Covid-19 may have had limited impact on the agriculture as it has been regarded as an essential service since lockdown, the longer term drought and water shortages already placed the industry under stress.  Exports </w:t>
      </w:r>
      <w:r w:rsidR="00304F0C">
        <w:t>a</w:t>
      </w:r>
      <w:r>
        <w:t xml:space="preserve">nd transport </w:t>
      </w:r>
      <w:r w:rsidR="00304F0C">
        <w:t>of cargo (produce) may have been limited, and</w:t>
      </w:r>
      <w:r>
        <w:t xml:space="preserve"> market access to other countries may have been affected, with examples of the wine industry and flower industry from the region as good examples.</w:t>
      </w:r>
      <w:r w:rsidR="000A17DB">
        <w:t xml:space="preserve">  There were some unintended consequences for this sector it will be 1 % short in the 13- 24 months post-lockdown period than the 2019 figure i.t.o. GVA and employment will make a full recovery.</w:t>
      </w:r>
    </w:p>
    <w:p w:rsidR="00995657" w:rsidRDefault="00995657" w:rsidP="00995657">
      <w:pPr>
        <w:spacing w:before="120" w:after="120" w:line="360" w:lineRule="auto"/>
        <w:ind w:left="720"/>
        <w:jc w:val="both"/>
      </w:pPr>
      <w:r>
        <w:t>However, as agricultu</w:t>
      </w:r>
      <w:r w:rsidR="00304F0C">
        <w:t>re has a specific programme, no</w:t>
      </w:r>
      <w:r>
        <w:t xml:space="preserve"> specific reference in the Economic Recovery Plan will be made to this sector, except for reference to food security for indigent households.</w:t>
      </w:r>
    </w:p>
    <w:p w:rsidR="00995657" w:rsidRDefault="00233B7D" w:rsidP="00233B7D">
      <w:pPr>
        <w:pStyle w:val="Heading4"/>
      </w:pPr>
      <w:r>
        <w:t>4.2.1.6</w:t>
      </w:r>
      <w:r>
        <w:tab/>
      </w:r>
      <w:r w:rsidR="00995657">
        <w:t>ICT and Smart Cities</w:t>
      </w:r>
    </w:p>
    <w:p w:rsidR="00995657" w:rsidRDefault="00525CE7" w:rsidP="00525CE7">
      <w:pPr>
        <w:spacing w:before="120" w:after="120" w:line="360" w:lineRule="auto"/>
        <w:ind w:left="720"/>
        <w:jc w:val="both"/>
      </w:pPr>
      <w:r>
        <w:t xml:space="preserve">This sector will remain resilient as it is both an essential service and an integral part of the development and growth of the region.  However, with the limited band width and limited internet access for households as a basic service, the potential of this sector to stimulate the economy may be hampered.  The enhancement of “smart” applications by municipalities and the private sector will see </w:t>
      </w:r>
      <w:r>
        <w:lastRenderedPageBreak/>
        <w:t>more remote work access and less travel.  The experiences of Cape Agulhas municipality in implementing SMART city programmes should be investigated and potentially explored for Bergrivier Municipality.</w:t>
      </w:r>
    </w:p>
    <w:p w:rsidR="00995657" w:rsidRDefault="00233B7D" w:rsidP="00233B7D">
      <w:pPr>
        <w:pStyle w:val="Heading4"/>
      </w:pPr>
      <w:r>
        <w:t>4.2.1.7</w:t>
      </w:r>
      <w:r>
        <w:tab/>
      </w:r>
      <w:r w:rsidR="00525CE7">
        <w:t>Waste management, energy and water</w:t>
      </w:r>
    </w:p>
    <w:p w:rsidR="00525CE7" w:rsidRDefault="00525CE7" w:rsidP="00525CE7">
      <w:pPr>
        <w:spacing w:before="120" w:after="120" w:line="360" w:lineRule="auto"/>
        <w:ind w:left="720"/>
        <w:jc w:val="both"/>
      </w:pPr>
      <w:r>
        <w:t>This sector experienced minimal impact from Covid-19, especially as South Africa is being regarded as a major opportunity for renewable energy projects and water supply issues.  Active facilitation of creating an environment conducive to investment in this sector will be crucial, especially as it tends to be a competitive environment for municipalities.</w:t>
      </w:r>
    </w:p>
    <w:p w:rsidR="00525CE7" w:rsidRDefault="00233B7D" w:rsidP="00233B7D">
      <w:pPr>
        <w:pStyle w:val="Heading4"/>
      </w:pPr>
      <w:r>
        <w:t>4.2.1.8</w:t>
      </w:r>
      <w:r>
        <w:tab/>
      </w:r>
      <w:r w:rsidR="000A17DB">
        <w:t>SMME and Informal Sector</w:t>
      </w:r>
    </w:p>
    <w:p w:rsidR="006451D1" w:rsidRDefault="0041482A" w:rsidP="0041482A">
      <w:pPr>
        <w:spacing w:before="120" w:after="120" w:line="360" w:lineRule="auto"/>
        <w:ind w:left="720"/>
        <w:jc w:val="both"/>
      </w:pPr>
      <w:r>
        <w:t xml:space="preserve">Although this is not </w:t>
      </w:r>
      <w:r w:rsidR="00F038D5">
        <w:t>an</w:t>
      </w:r>
      <w:r>
        <w:t xml:space="preserve"> industry per se, Covid-19 had a severe impact on the small business sector with </w:t>
      </w:r>
      <w:proofErr w:type="gramStart"/>
      <w:r>
        <w:t>considerable</w:t>
      </w:r>
      <w:proofErr w:type="gramEnd"/>
      <w:r>
        <w:t xml:space="preserve"> businesses closing and/or struggling to survive and/or retrenching staff.  Specific attention will have to be given to this industry as it tends to be a safety net for a number of families not being able to obtain employment or as a means for survival.</w:t>
      </w:r>
    </w:p>
    <w:p w:rsidR="0041482A" w:rsidRDefault="006451D1" w:rsidP="0041482A">
      <w:pPr>
        <w:spacing w:before="120" w:after="120" w:line="360" w:lineRule="auto"/>
        <w:ind w:left="720"/>
        <w:jc w:val="both"/>
      </w:pPr>
      <w:r>
        <w:t>Within Bergrivier, the informal sector provides employment to 9.9 % of the workforce.  It is expected this sector</w:t>
      </w:r>
      <w:r w:rsidR="0041482A">
        <w:t xml:space="preserve"> </w:t>
      </w:r>
      <w:r>
        <w:t xml:space="preserve">will have a 12.7 % decline in employment within one year after lockdown.  The impact of the losses on this largely financially vulnerable group may require some intervention to keep households afloat.  Most of these jobs lost is likely to be recovered within the 13 – 24 months post lockdown (0.8 %) to the 2019 employment figures.  </w:t>
      </w:r>
      <w:r w:rsidR="0041482A">
        <w:t xml:space="preserve">The formalisation of the informal industry will also have to be </w:t>
      </w:r>
      <w:r w:rsidR="00F038D5">
        <w:t xml:space="preserve">receive </w:t>
      </w:r>
      <w:r w:rsidR="0041482A">
        <w:t>dedicated attent</w:t>
      </w:r>
      <w:r w:rsidR="00230AFB">
        <w:t>ion as funding available for this sector</w:t>
      </w:r>
      <w:r w:rsidR="0041482A">
        <w:t xml:space="preserve"> requires the businesses to be compliant.</w:t>
      </w:r>
    </w:p>
    <w:p w:rsidR="008903D3" w:rsidRDefault="008903D3" w:rsidP="008903D3">
      <w:pPr>
        <w:pStyle w:val="Heading3"/>
      </w:pPr>
      <w:bookmarkStart w:id="12" w:name="_Toc46991983"/>
      <w:r>
        <w:t>4.2.2 Implementation Plan</w:t>
      </w:r>
      <w:bookmarkEnd w:id="12"/>
    </w:p>
    <w:p w:rsidR="00E6469D" w:rsidRDefault="00982DD4" w:rsidP="008903D3">
      <w:pPr>
        <w:spacing w:before="120" w:after="120" w:line="360" w:lineRule="auto"/>
      </w:pPr>
      <w:r>
        <w:t>The following practical implementation plans for Bergrivier Municipal Area are proposed:</w:t>
      </w:r>
    </w:p>
    <w:p w:rsidR="00B662EF" w:rsidRDefault="00B662EF" w:rsidP="008903D3">
      <w:pPr>
        <w:spacing w:before="120" w:after="120" w:line="360" w:lineRule="auto"/>
        <w:sectPr w:rsidR="00B662EF" w:rsidSect="005E4297">
          <w:headerReference w:type="default" r:id="rId16"/>
          <w:footerReference w:type="default" r:id="rId17"/>
          <w:pgSz w:w="11906" w:h="16838"/>
          <w:pgMar w:top="1077" w:right="1077" w:bottom="1077" w:left="1077" w:header="510" w:footer="510" w:gutter="0"/>
          <w:cols w:space="708"/>
          <w:docGrid w:linePitch="360"/>
        </w:sectPr>
      </w:pPr>
    </w:p>
    <w:p w:rsidR="00B662EF" w:rsidRDefault="00B662EF" w:rsidP="00B662EF">
      <w:pPr>
        <w:spacing w:before="120" w:after="120" w:line="360" w:lineRule="auto"/>
      </w:pPr>
    </w:p>
    <w:tbl>
      <w:tblPr>
        <w:tblStyle w:val="TableGrid"/>
        <w:tblW w:w="5000" w:type="pct"/>
        <w:tblLayout w:type="fixed"/>
        <w:tblLook w:val="04A0" w:firstRow="1" w:lastRow="0" w:firstColumn="1" w:lastColumn="0" w:noHBand="0" w:noVBand="1"/>
      </w:tblPr>
      <w:tblGrid>
        <w:gridCol w:w="1271"/>
        <w:gridCol w:w="1419"/>
        <w:gridCol w:w="11005"/>
        <w:gridCol w:w="1999"/>
      </w:tblGrid>
      <w:tr w:rsidR="00D247FA" w:rsidRPr="006C6CAB" w:rsidTr="00BD2C21">
        <w:trPr>
          <w:trHeight w:val="439"/>
          <w:tblHeader/>
        </w:trPr>
        <w:tc>
          <w:tcPr>
            <w:tcW w:w="405" w:type="pct"/>
            <w:shd w:val="clear" w:color="auto" w:fill="2F5496" w:themeFill="accent5" w:themeFillShade="BF"/>
          </w:tcPr>
          <w:p w:rsidR="00D247FA" w:rsidRPr="006C6CAB" w:rsidRDefault="00D247FA" w:rsidP="004C53B5">
            <w:pPr>
              <w:jc w:val="center"/>
              <w:rPr>
                <w:color w:val="FFFFFF" w:themeColor="background1"/>
              </w:rPr>
            </w:pPr>
            <w:r w:rsidRPr="006C6CAB">
              <w:rPr>
                <w:color w:val="FFFFFF" w:themeColor="background1"/>
              </w:rPr>
              <w:t>SECTOR</w:t>
            </w:r>
          </w:p>
        </w:tc>
        <w:tc>
          <w:tcPr>
            <w:tcW w:w="452" w:type="pct"/>
            <w:shd w:val="clear" w:color="auto" w:fill="2F5496" w:themeFill="accent5" w:themeFillShade="BF"/>
          </w:tcPr>
          <w:p w:rsidR="00D247FA" w:rsidRPr="006C6CAB" w:rsidRDefault="00D247FA" w:rsidP="004C53B5">
            <w:pPr>
              <w:jc w:val="center"/>
              <w:rPr>
                <w:color w:val="FFFFFF" w:themeColor="background1"/>
              </w:rPr>
            </w:pPr>
            <w:r w:rsidRPr="006C6CAB">
              <w:rPr>
                <w:color w:val="FFFFFF" w:themeColor="background1"/>
              </w:rPr>
              <w:t>CATEGORY</w:t>
            </w:r>
          </w:p>
        </w:tc>
        <w:tc>
          <w:tcPr>
            <w:tcW w:w="3506" w:type="pct"/>
            <w:shd w:val="clear" w:color="auto" w:fill="2F5496" w:themeFill="accent5" w:themeFillShade="BF"/>
          </w:tcPr>
          <w:p w:rsidR="00D247FA" w:rsidRPr="006C6CAB" w:rsidRDefault="00D247FA" w:rsidP="004C53B5">
            <w:pPr>
              <w:jc w:val="center"/>
              <w:rPr>
                <w:color w:val="FFFFFF" w:themeColor="background1"/>
              </w:rPr>
            </w:pPr>
            <w:r w:rsidRPr="006C6CAB">
              <w:rPr>
                <w:color w:val="FFFFFF" w:themeColor="background1"/>
              </w:rPr>
              <w:t>DETAIL</w:t>
            </w:r>
          </w:p>
        </w:tc>
        <w:tc>
          <w:tcPr>
            <w:tcW w:w="637" w:type="pct"/>
            <w:shd w:val="clear" w:color="auto" w:fill="2F5496" w:themeFill="accent5" w:themeFillShade="BF"/>
          </w:tcPr>
          <w:p w:rsidR="00D247FA" w:rsidRPr="006C6CAB" w:rsidRDefault="00D247FA" w:rsidP="004C53B5">
            <w:pPr>
              <w:jc w:val="center"/>
              <w:rPr>
                <w:color w:val="FFFFFF" w:themeColor="background1"/>
              </w:rPr>
            </w:pPr>
            <w:r w:rsidRPr="006C6CAB">
              <w:rPr>
                <w:color w:val="FFFFFF" w:themeColor="background1"/>
              </w:rPr>
              <w:t>RESPONSIBLE</w:t>
            </w:r>
          </w:p>
        </w:tc>
      </w:tr>
      <w:tr w:rsidR="00230AFB" w:rsidTr="00BD2C21">
        <w:trPr>
          <w:trHeight w:val="567"/>
        </w:trPr>
        <w:tc>
          <w:tcPr>
            <w:tcW w:w="405" w:type="pct"/>
            <w:vMerge w:val="restar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Tourism</w:t>
            </w:r>
          </w:p>
        </w:tc>
        <w:tc>
          <w:tcPr>
            <w:tcW w:w="452" w:type="pct"/>
            <w:vMerge w:val="restar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Information dissemination</w:t>
            </w:r>
          </w:p>
        </w:tc>
        <w:tc>
          <w:tcPr>
            <w:tcW w:w="3506" w:type="pct"/>
            <w:shd w:val="clear" w:color="auto" w:fill="DEEAF6" w:themeFill="accent1" w:themeFillTint="33"/>
            <w:vAlign w:val="center"/>
          </w:tcPr>
          <w:p w:rsidR="00230AFB" w:rsidRPr="006C6CAB" w:rsidRDefault="00230AFB" w:rsidP="00155FFB">
            <w:pPr>
              <w:spacing w:before="60" w:after="60"/>
              <w:rPr>
                <w:sz w:val="20"/>
                <w:szCs w:val="20"/>
              </w:rPr>
            </w:pPr>
            <w:r w:rsidRPr="006C6CAB">
              <w:rPr>
                <w:sz w:val="20"/>
                <w:szCs w:val="20"/>
              </w:rPr>
              <w:t>Guide tourism industry where to find assistance to apply for relief/stimulus packages (</w:t>
            </w:r>
            <w:hyperlink r:id="rId18" w:history="1">
              <w:r w:rsidRPr="006C6CAB">
                <w:rPr>
                  <w:rStyle w:val="Hyperlink"/>
                  <w:sz w:val="20"/>
                  <w:szCs w:val="20"/>
                </w:rPr>
                <w:t>www.supportbusiness.co.za</w:t>
              </w:r>
            </w:hyperlink>
            <w:r w:rsidRPr="006C6CAB">
              <w:rPr>
                <w:sz w:val="20"/>
                <w:szCs w:val="20"/>
              </w:rPr>
              <w:t xml:space="preserve">, </w:t>
            </w:r>
            <w:hyperlink r:id="rId19" w:history="1">
              <w:r w:rsidRPr="006C6CAB">
                <w:rPr>
                  <w:rStyle w:val="Hyperlink"/>
                  <w:sz w:val="20"/>
                  <w:szCs w:val="20"/>
                </w:rPr>
                <w:t>www.bizportal.gov.za</w:t>
              </w:r>
            </w:hyperlink>
          </w:p>
        </w:tc>
        <w:tc>
          <w:tcPr>
            <w:tcW w:w="637"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Manager: BTO and Strategic Services</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3506" w:type="pct"/>
            <w:shd w:val="clear" w:color="auto" w:fill="DEEAF6" w:themeFill="accent1" w:themeFillTint="33"/>
            <w:vAlign w:val="center"/>
          </w:tcPr>
          <w:p w:rsidR="00230AFB" w:rsidRPr="006C6CAB" w:rsidRDefault="00230AFB" w:rsidP="00155FFB">
            <w:pPr>
              <w:spacing w:before="60" w:after="60"/>
              <w:rPr>
                <w:sz w:val="20"/>
                <w:szCs w:val="20"/>
              </w:rPr>
            </w:pPr>
            <w:r w:rsidRPr="006C6CAB">
              <w:rPr>
                <w:sz w:val="20"/>
                <w:szCs w:val="20"/>
              </w:rPr>
              <w:t xml:space="preserve">Guide and advice business </w:t>
            </w:r>
            <w:proofErr w:type="spellStart"/>
            <w:r w:rsidRPr="006C6CAB">
              <w:rPr>
                <w:sz w:val="20"/>
                <w:szCs w:val="20"/>
              </w:rPr>
              <w:t>ito</w:t>
            </w:r>
            <w:proofErr w:type="spellEnd"/>
            <w:r w:rsidRPr="006C6CAB">
              <w:rPr>
                <w:sz w:val="20"/>
                <w:szCs w:val="20"/>
              </w:rPr>
              <w:t xml:space="preserve"> the regulations and health protocol</w:t>
            </w:r>
          </w:p>
        </w:tc>
        <w:tc>
          <w:tcPr>
            <w:tcW w:w="637"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Manager: BTO and Strategic Services</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val="restart"/>
            <w:shd w:val="clear" w:color="auto" w:fill="DEEAF6" w:themeFill="accent1" w:themeFillTint="33"/>
            <w:vAlign w:val="center"/>
          </w:tcPr>
          <w:p w:rsidR="00230AFB" w:rsidRPr="006C6CAB" w:rsidRDefault="00230AFB" w:rsidP="00155FFB">
            <w:pPr>
              <w:spacing w:before="60" w:after="60"/>
              <w:rPr>
                <w:sz w:val="20"/>
                <w:szCs w:val="20"/>
              </w:rPr>
            </w:pPr>
            <w:r w:rsidRPr="006C6CAB">
              <w:rPr>
                <w:sz w:val="20"/>
                <w:szCs w:val="20"/>
              </w:rPr>
              <w:t>Interventions</w:t>
            </w:r>
          </w:p>
        </w:tc>
        <w:tc>
          <w:tcPr>
            <w:tcW w:w="3506"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Organise training session on the importance of ensuring that business is online</w:t>
            </w:r>
          </w:p>
        </w:tc>
        <w:tc>
          <w:tcPr>
            <w:tcW w:w="637"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Manager: BTO</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3506" w:type="pct"/>
            <w:shd w:val="clear" w:color="auto" w:fill="DEEAF6" w:themeFill="accent1" w:themeFillTint="33"/>
            <w:vAlign w:val="center"/>
          </w:tcPr>
          <w:p w:rsidR="00230AFB" w:rsidRPr="006C6CAB" w:rsidRDefault="00230AFB" w:rsidP="00155FFB">
            <w:pPr>
              <w:spacing w:before="60" w:after="60"/>
              <w:rPr>
                <w:sz w:val="20"/>
                <w:szCs w:val="20"/>
              </w:rPr>
            </w:pPr>
            <w:r w:rsidRPr="006C6CAB">
              <w:rPr>
                <w:sz w:val="20"/>
                <w:szCs w:val="20"/>
              </w:rPr>
              <w:t>Video of Bergrivier Municipality with its service providers to be made</w:t>
            </w:r>
          </w:p>
        </w:tc>
        <w:tc>
          <w:tcPr>
            <w:tcW w:w="637"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Manager: BTO</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3506" w:type="pct"/>
            <w:shd w:val="clear" w:color="auto" w:fill="DEEAF6" w:themeFill="accent1" w:themeFillTint="33"/>
            <w:vAlign w:val="center"/>
          </w:tcPr>
          <w:p w:rsidR="00230AFB" w:rsidRPr="006C6CAB" w:rsidRDefault="00230AFB" w:rsidP="00155FFB">
            <w:pPr>
              <w:spacing w:before="60" w:after="60"/>
              <w:rPr>
                <w:sz w:val="20"/>
                <w:szCs w:val="20"/>
              </w:rPr>
            </w:pPr>
            <w:r w:rsidRPr="006C6CAB">
              <w:rPr>
                <w:sz w:val="20"/>
                <w:szCs w:val="20"/>
              </w:rPr>
              <w:t>Special initiative to transform the industry</w:t>
            </w:r>
            <w:r>
              <w:rPr>
                <w:sz w:val="20"/>
                <w:szCs w:val="20"/>
              </w:rPr>
              <w:t>: Commence with Porterville-case study in Piketberg to motivate SMME’s to enter the tourism industry</w:t>
            </w:r>
          </w:p>
        </w:tc>
        <w:tc>
          <w:tcPr>
            <w:tcW w:w="637"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Manager: BTO and Strategic Services</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3506"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Advocate the film readiness nature of Bergrivier Municipal Area</w:t>
            </w:r>
          </w:p>
        </w:tc>
        <w:tc>
          <w:tcPr>
            <w:tcW w:w="637" w:type="pct"/>
            <w:shd w:val="clear" w:color="auto" w:fill="DEEAF6" w:themeFill="accent1" w:themeFillTint="33"/>
            <w:vAlign w:val="center"/>
          </w:tcPr>
          <w:p w:rsidR="00230AFB" w:rsidRPr="006C6CAB" w:rsidRDefault="00230AFB" w:rsidP="00155FFB">
            <w:pPr>
              <w:spacing w:before="60" w:after="60"/>
              <w:rPr>
                <w:sz w:val="20"/>
                <w:szCs w:val="20"/>
              </w:rPr>
            </w:pPr>
            <w:r>
              <w:rPr>
                <w:sz w:val="20"/>
                <w:szCs w:val="20"/>
              </w:rPr>
              <w:t>Manager: BTO</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3506" w:type="pct"/>
            <w:shd w:val="clear" w:color="auto" w:fill="DEEAF6" w:themeFill="accent1" w:themeFillTint="33"/>
            <w:vAlign w:val="center"/>
          </w:tcPr>
          <w:p w:rsidR="00230AFB" w:rsidRDefault="00230AFB" w:rsidP="00155FFB">
            <w:pPr>
              <w:spacing w:before="60" w:after="60"/>
              <w:rPr>
                <w:sz w:val="20"/>
                <w:szCs w:val="20"/>
              </w:rPr>
            </w:pPr>
            <w:r>
              <w:rPr>
                <w:sz w:val="20"/>
                <w:szCs w:val="20"/>
              </w:rPr>
              <w:t>Tourism offices to list business opportunities in their respective towns for SMME’s to consider</w:t>
            </w:r>
          </w:p>
        </w:tc>
        <w:tc>
          <w:tcPr>
            <w:tcW w:w="637" w:type="pct"/>
            <w:shd w:val="clear" w:color="auto" w:fill="DEEAF6" w:themeFill="accent1" w:themeFillTint="33"/>
            <w:vAlign w:val="center"/>
          </w:tcPr>
          <w:p w:rsidR="00230AFB" w:rsidRDefault="00230AFB" w:rsidP="00155FFB">
            <w:pPr>
              <w:spacing w:before="60" w:after="60"/>
              <w:rPr>
                <w:sz w:val="20"/>
                <w:szCs w:val="20"/>
              </w:rPr>
            </w:pPr>
            <w:r>
              <w:rPr>
                <w:sz w:val="20"/>
                <w:szCs w:val="20"/>
              </w:rPr>
              <w:t>Tourism offices</w:t>
            </w:r>
          </w:p>
        </w:tc>
      </w:tr>
      <w:tr w:rsidR="00230AFB" w:rsidTr="00BD2C21">
        <w:trPr>
          <w:trHeight w:val="567"/>
        </w:trPr>
        <w:tc>
          <w:tcPr>
            <w:tcW w:w="405"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452" w:type="pct"/>
            <w:vMerge/>
            <w:shd w:val="clear" w:color="auto" w:fill="DEEAF6" w:themeFill="accent1" w:themeFillTint="33"/>
            <w:vAlign w:val="center"/>
          </w:tcPr>
          <w:p w:rsidR="00230AFB" w:rsidRPr="006C6CAB" w:rsidRDefault="00230AFB" w:rsidP="00155FFB">
            <w:pPr>
              <w:spacing w:before="60" w:after="60"/>
              <w:rPr>
                <w:sz w:val="20"/>
                <w:szCs w:val="20"/>
              </w:rPr>
            </w:pPr>
          </w:p>
        </w:tc>
        <w:tc>
          <w:tcPr>
            <w:tcW w:w="3506" w:type="pct"/>
            <w:shd w:val="clear" w:color="auto" w:fill="DEEAF6" w:themeFill="accent1" w:themeFillTint="33"/>
            <w:vAlign w:val="center"/>
          </w:tcPr>
          <w:p w:rsidR="00230AFB" w:rsidRDefault="00230AFB" w:rsidP="00155FFB">
            <w:pPr>
              <w:spacing w:before="60" w:after="60"/>
              <w:rPr>
                <w:sz w:val="20"/>
                <w:szCs w:val="20"/>
              </w:rPr>
            </w:pPr>
            <w:r>
              <w:rPr>
                <w:sz w:val="20"/>
                <w:szCs w:val="20"/>
              </w:rPr>
              <w:t>Facilitate the mosaic project in Porterville</w:t>
            </w:r>
          </w:p>
        </w:tc>
        <w:tc>
          <w:tcPr>
            <w:tcW w:w="637" w:type="pct"/>
            <w:shd w:val="clear" w:color="auto" w:fill="DEEAF6" w:themeFill="accent1" w:themeFillTint="33"/>
            <w:vAlign w:val="center"/>
          </w:tcPr>
          <w:p w:rsidR="00230AFB" w:rsidRDefault="00230AFB" w:rsidP="00155FFB">
            <w:pPr>
              <w:spacing w:before="60" w:after="60"/>
              <w:rPr>
                <w:sz w:val="20"/>
                <w:szCs w:val="20"/>
              </w:rPr>
            </w:pPr>
            <w:r>
              <w:rPr>
                <w:sz w:val="20"/>
                <w:szCs w:val="20"/>
              </w:rPr>
              <w:t>Strategic Services</w:t>
            </w:r>
          </w:p>
        </w:tc>
      </w:tr>
      <w:tr w:rsidR="00BD2C21" w:rsidTr="00BD2C21">
        <w:trPr>
          <w:trHeight w:val="567"/>
        </w:trPr>
        <w:tc>
          <w:tcPr>
            <w:tcW w:w="405" w:type="pct"/>
            <w:vMerge w:val="restart"/>
            <w:shd w:val="clear" w:color="auto" w:fill="E2EFD9" w:themeFill="accent6" w:themeFillTint="33"/>
            <w:vAlign w:val="center"/>
          </w:tcPr>
          <w:p w:rsidR="00BD2C21" w:rsidRPr="006C6CAB" w:rsidRDefault="00BD2C21" w:rsidP="00155FFB">
            <w:pPr>
              <w:spacing w:before="60" w:after="60"/>
              <w:rPr>
                <w:sz w:val="20"/>
                <w:szCs w:val="20"/>
              </w:rPr>
            </w:pPr>
            <w:r w:rsidRPr="006C6CAB">
              <w:rPr>
                <w:sz w:val="20"/>
                <w:szCs w:val="20"/>
              </w:rPr>
              <w:t>Construction</w:t>
            </w:r>
          </w:p>
        </w:tc>
        <w:tc>
          <w:tcPr>
            <w:tcW w:w="452" w:type="pct"/>
            <w:vMerge w:val="restart"/>
            <w:shd w:val="clear" w:color="auto" w:fill="E2EFD9" w:themeFill="accent6" w:themeFillTint="33"/>
            <w:vAlign w:val="center"/>
          </w:tcPr>
          <w:p w:rsidR="00BD2C21" w:rsidRPr="006C6CAB" w:rsidRDefault="00BD2C21" w:rsidP="00155FFB">
            <w:pPr>
              <w:spacing w:before="60" w:after="60"/>
              <w:rPr>
                <w:sz w:val="20"/>
                <w:szCs w:val="20"/>
              </w:rPr>
            </w:pPr>
            <w:r w:rsidRPr="006C6CAB">
              <w:rPr>
                <w:sz w:val="20"/>
                <w:szCs w:val="20"/>
              </w:rPr>
              <w:t>Information dissemination</w:t>
            </w:r>
          </w:p>
        </w:tc>
        <w:tc>
          <w:tcPr>
            <w:tcW w:w="3506" w:type="pct"/>
            <w:shd w:val="clear" w:color="auto" w:fill="E2EFD9" w:themeFill="accent6" w:themeFillTint="33"/>
            <w:vAlign w:val="center"/>
          </w:tcPr>
          <w:p w:rsidR="00BD2C21" w:rsidRPr="006C6CAB" w:rsidRDefault="00BD2C21" w:rsidP="00155FFB">
            <w:pPr>
              <w:spacing w:before="60" w:after="60"/>
              <w:rPr>
                <w:sz w:val="20"/>
                <w:szCs w:val="20"/>
              </w:rPr>
            </w:pPr>
            <w:r w:rsidRPr="006C6CAB">
              <w:rPr>
                <w:sz w:val="20"/>
                <w:szCs w:val="20"/>
              </w:rPr>
              <w:t xml:space="preserve">Guide and advice business </w:t>
            </w:r>
            <w:proofErr w:type="spellStart"/>
            <w:r w:rsidRPr="006C6CAB">
              <w:rPr>
                <w:sz w:val="20"/>
                <w:szCs w:val="20"/>
              </w:rPr>
              <w:t>ito</w:t>
            </w:r>
            <w:proofErr w:type="spellEnd"/>
            <w:r w:rsidRPr="006C6CAB">
              <w:rPr>
                <w:sz w:val="20"/>
                <w:szCs w:val="20"/>
              </w:rPr>
              <w:t xml:space="preserve"> the regulations and health protocol</w:t>
            </w:r>
          </w:p>
        </w:tc>
        <w:tc>
          <w:tcPr>
            <w:tcW w:w="637"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Strategic Services</w:t>
            </w:r>
          </w:p>
        </w:tc>
      </w:tr>
      <w:tr w:rsidR="00BD2C21" w:rsidTr="00BD2C21">
        <w:trPr>
          <w:trHeight w:val="567"/>
        </w:trPr>
        <w:tc>
          <w:tcPr>
            <w:tcW w:w="405"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452"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3506" w:type="pct"/>
            <w:shd w:val="clear" w:color="auto" w:fill="E2EFD9" w:themeFill="accent6" w:themeFillTint="33"/>
            <w:vAlign w:val="center"/>
          </w:tcPr>
          <w:p w:rsidR="00BD2C21" w:rsidRPr="006C6CAB" w:rsidRDefault="00BD2C21" w:rsidP="00155FFB">
            <w:pPr>
              <w:spacing w:before="60" w:after="60"/>
              <w:rPr>
                <w:sz w:val="20"/>
                <w:szCs w:val="20"/>
              </w:rPr>
            </w:pPr>
            <w:r w:rsidRPr="006C6CAB">
              <w:rPr>
                <w:sz w:val="20"/>
                <w:szCs w:val="20"/>
              </w:rPr>
              <w:t>Guide construction industry where to find assistance to apply for relief/stimulus packages (</w:t>
            </w:r>
            <w:hyperlink r:id="rId20" w:history="1">
              <w:r w:rsidRPr="006C6CAB">
                <w:rPr>
                  <w:rStyle w:val="Hyperlink"/>
                  <w:sz w:val="20"/>
                  <w:szCs w:val="20"/>
                </w:rPr>
                <w:t>www.supportbusiness.co.za</w:t>
              </w:r>
            </w:hyperlink>
            <w:r w:rsidRPr="006C6CAB">
              <w:rPr>
                <w:sz w:val="20"/>
                <w:szCs w:val="20"/>
              </w:rPr>
              <w:t xml:space="preserve">, </w:t>
            </w:r>
            <w:hyperlink r:id="rId21" w:history="1">
              <w:r w:rsidRPr="006C6CAB">
                <w:rPr>
                  <w:rStyle w:val="Hyperlink"/>
                  <w:sz w:val="20"/>
                  <w:szCs w:val="20"/>
                </w:rPr>
                <w:t>www.bizportal.gov.za</w:t>
              </w:r>
            </w:hyperlink>
            <w:r w:rsidRPr="006C6CAB">
              <w:rPr>
                <w:sz w:val="20"/>
                <w:szCs w:val="20"/>
              </w:rPr>
              <w:t>,  etc.</w:t>
            </w:r>
          </w:p>
        </w:tc>
        <w:tc>
          <w:tcPr>
            <w:tcW w:w="637"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Strategic Services</w:t>
            </w:r>
          </w:p>
        </w:tc>
      </w:tr>
      <w:tr w:rsidR="00BD2C21" w:rsidTr="00BD2C21">
        <w:trPr>
          <w:trHeight w:val="454"/>
        </w:trPr>
        <w:tc>
          <w:tcPr>
            <w:tcW w:w="405"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452" w:type="pct"/>
            <w:vMerge w:val="restart"/>
            <w:shd w:val="clear" w:color="auto" w:fill="E2EFD9" w:themeFill="accent6" w:themeFillTint="33"/>
            <w:vAlign w:val="center"/>
          </w:tcPr>
          <w:p w:rsidR="00BD2C21" w:rsidRPr="006C6CAB" w:rsidRDefault="00BD2C21" w:rsidP="00155FFB">
            <w:pPr>
              <w:spacing w:before="60" w:after="60"/>
              <w:rPr>
                <w:sz w:val="20"/>
                <w:szCs w:val="20"/>
              </w:rPr>
            </w:pPr>
            <w:r w:rsidRPr="006C6CAB">
              <w:rPr>
                <w:sz w:val="20"/>
                <w:szCs w:val="20"/>
              </w:rPr>
              <w:t>Interventions</w:t>
            </w:r>
          </w:p>
        </w:tc>
        <w:tc>
          <w:tcPr>
            <w:tcW w:w="3506"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Organise training session on the importance of ensuring that business is online</w:t>
            </w:r>
            <w:r w:rsidRPr="006C6CAB">
              <w:rPr>
                <w:sz w:val="20"/>
                <w:szCs w:val="20"/>
              </w:rPr>
              <w:t xml:space="preserve"> </w:t>
            </w:r>
          </w:p>
        </w:tc>
        <w:tc>
          <w:tcPr>
            <w:tcW w:w="637"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Strategic Services</w:t>
            </w:r>
          </w:p>
        </w:tc>
      </w:tr>
      <w:tr w:rsidR="00BD2C21" w:rsidTr="00BD2C21">
        <w:trPr>
          <w:trHeight w:val="454"/>
        </w:trPr>
        <w:tc>
          <w:tcPr>
            <w:tcW w:w="405"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452"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3506" w:type="pct"/>
            <w:shd w:val="clear" w:color="auto" w:fill="E2EFD9" w:themeFill="accent6" w:themeFillTint="33"/>
            <w:vAlign w:val="center"/>
          </w:tcPr>
          <w:p w:rsidR="00BD2C21" w:rsidRPr="006C6CAB" w:rsidRDefault="00BD2C21" w:rsidP="00155FFB">
            <w:pPr>
              <w:spacing w:before="60" w:after="60"/>
              <w:rPr>
                <w:sz w:val="20"/>
                <w:szCs w:val="20"/>
              </w:rPr>
            </w:pPr>
            <w:r w:rsidRPr="006C6CAB">
              <w:rPr>
                <w:sz w:val="20"/>
                <w:szCs w:val="20"/>
              </w:rPr>
              <w:t xml:space="preserve">Discussions with </w:t>
            </w:r>
            <w:proofErr w:type="spellStart"/>
            <w:r w:rsidRPr="006C6CAB">
              <w:rPr>
                <w:sz w:val="20"/>
                <w:szCs w:val="20"/>
              </w:rPr>
              <w:t>Saldanha</w:t>
            </w:r>
            <w:proofErr w:type="spellEnd"/>
            <w:r w:rsidRPr="006C6CAB">
              <w:rPr>
                <w:sz w:val="20"/>
                <w:szCs w:val="20"/>
              </w:rPr>
              <w:t xml:space="preserve"> IDZ on including </w:t>
            </w:r>
            <w:proofErr w:type="spellStart"/>
            <w:r w:rsidRPr="006C6CAB">
              <w:rPr>
                <w:sz w:val="20"/>
                <w:szCs w:val="20"/>
              </w:rPr>
              <w:t>Velddrif</w:t>
            </w:r>
            <w:proofErr w:type="spellEnd"/>
            <w:r w:rsidRPr="006C6CAB">
              <w:rPr>
                <w:sz w:val="20"/>
                <w:szCs w:val="20"/>
              </w:rPr>
              <w:t xml:space="preserve"> in the supply chain of the investments in the IDZ</w:t>
            </w:r>
          </w:p>
        </w:tc>
        <w:tc>
          <w:tcPr>
            <w:tcW w:w="637"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Strategic Services</w:t>
            </w:r>
          </w:p>
        </w:tc>
      </w:tr>
      <w:tr w:rsidR="00BD2C21" w:rsidTr="00BD2C21">
        <w:trPr>
          <w:trHeight w:val="520"/>
        </w:trPr>
        <w:tc>
          <w:tcPr>
            <w:tcW w:w="405"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452" w:type="pct"/>
            <w:vMerge/>
            <w:shd w:val="clear" w:color="auto" w:fill="E2EFD9" w:themeFill="accent6" w:themeFillTint="33"/>
            <w:vAlign w:val="center"/>
          </w:tcPr>
          <w:p w:rsidR="00BD2C21" w:rsidRPr="006C6CAB" w:rsidRDefault="00BD2C21" w:rsidP="00155FFB">
            <w:pPr>
              <w:spacing w:before="60" w:after="60"/>
              <w:rPr>
                <w:sz w:val="20"/>
                <w:szCs w:val="20"/>
              </w:rPr>
            </w:pPr>
          </w:p>
        </w:tc>
        <w:tc>
          <w:tcPr>
            <w:tcW w:w="3506"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Preferential procurement should be applied in sourcing construction companies with a preference to geographical local businesses</w:t>
            </w:r>
          </w:p>
        </w:tc>
        <w:tc>
          <w:tcPr>
            <w:tcW w:w="637" w:type="pct"/>
            <w:shd w:val="clear" w:color="auto" w:fill="E2EFD9" w:themeFill="accent6" w:themeFillTint="33"/>
            <w:vAlign w:val="center"/>
          </w:tcPr>
          <w:p w:rsidR="00BD2C21" w:rsidRPr="006C6CAB" w:rsidRDefault="00BD2C21" w:rsidP="00155FFB">
            <w:pPr>
              <w:spacing w:before="60" w:after="60"/>
              <w:rPr>
                <w:sz w:val="20"/>
                <w:szCs w:val="20"/>
              </w:rPr>
            </w:pPr>
            <w:r>
              <w:rPr>
                <w:sz w:val="20"/>
                <w:szCs w:val="20"/>
              </w:rPr>
              <w:t>Supply Chain, Technical Services, Community Services</w:t>
            </w:r>
          </w:p>
        </w:tc>
      </w:tr>
      <w:tr w:rsidR="006C1283" w:rsidTr="00BD2C21">
        <w:tc>
          <w:tcPr>
            <w:tcW w:w="405" w:type="pct"/>
            <w:vMerge w:val="restar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Small Business</w:t>
            </w:r>
          </w:p>
        </w:tc>
        <w:tc>
          <w:tcPr>
            <w:tcW w:w="452" w:type="pct"/>
            <w:vMerge w:val="restar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Information dissemination</w:t>
            </w:r>
          </w:p>
        </w:tc>
        <w:tc>
          <w:tcPr>
            <w:tcW w:w="3506"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Guide small business sector where to find assistance to apply for relief/stimulus packages (</w:t>
            </w:r>
            <w:hyperlink r:id="rId22" w:history="1">
              <w:r w:rsidRPr="006C6CAB">
                <w:rPr>
                  <w:rStyle w:val="Hyperlink"/>
                  <w:sz w:val="20"/>
                  <w:szCs w:val="20"/>
                </w:rPr>
                <w:t>www.supportbusiness.co.za</w:t>
              </w:r>
            </w:hyperlink>
            <w:r w:rsidRPr="006C6CAB">
              <w:rPr>
                <w:sz w:val="20"/>
                <w:szCs w:val="20"/>
              </w:rPr>
              <w:t xml:space="preserve">, </w:t>
            </w:r>
            <w:hyperlink r:id="rId23" w:history="1">
              <w:r w:rsidRPr="006C6CAB">
                <w:rPr>
                  <w:rStyle w:val="Hyperlink"/>
                  <w:sz w:val="20"/>
                  <w:szCs w:val="20"/>
                </w:rPr>
                <w:t>www.bizportal.gov.za</w:t>
              </w:r>
            </w:hyperlink>
            <w:r w:rsidRPr="006C6CAB">
              <w:rPr>
                <w:sz w:val="20"/>
                <w:szCs w:val="20"/>
              </w:rPr>
              <w:t>,  etc.</w:t>
            </w:r>
          </w:p>
        </w:tc>
        <w:tc>
          <w:tcPr>
            <w:tcW w:w="637"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Pr>
                <w:sz w:val="20"/>
                <w:szCs w:val="20"/>
              </w:rPr>
              <w:t>Strategic Services</w:t>
            </w:r>
          </w:p>
        </w:tc>
      </w:tr>
      <w:tr w:rsidR="006C1283" w:rsidTr="00BD2C21">
        <w:tc>
          <w:tcPr>
            <w:tcW w:w="405"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452"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3506"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Webinars to be promoted</w:t>
            </w:r>
          </w:p>
        </w:tc>
        <w:tc>
          <w:tcPr>
            <w:tcW w:w="637"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Pr>
                <w:sz w:val="20"/>
                <w:szCs w:val="20"/>
              </w:rPr>
              <w:t>Strategic Services</w:t>
            </w:r>
          </w:p>
        </w:tc>
      </w:tr>
      <w:tr w:rsidR="006C1283" w:rsidTr="00BD2C21">
        <w:tc>
          <w:tcPr>
            <w:tcW w:w="405"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452" w:type="pct"/>
            <w:vMerge w:val="restar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Interventions</w:t>
            </w:r>
          </w:p>
        </w:tc>
        <w:tc>
          <w:tcPr>
            <w:tcW w:w="3506"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Establish a committee representative of each town and discuss weekly (virtual) the current situation and potential solutions</w:t>
            </w:r>
          </w:p>
        </w:tc>
        <w:tc>
          <w:tcPr>
            <w:tcW w:w="637"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Pr>
                <w:sz w:val="20"/>
                <w:szCs w:val="20"/>
              </w:rPr>
              <w:t>Strategic Services</w:t>
            </w:r>
          </w:p>
        </w:tc>
      </w:tr>
      <w:tr w:rsidR="006C1283" w:rsidTr="00BD2C21">
        <w:tc>
          <w:tcPr>
            <w:tcW w:w="405"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452"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3506"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sidRPr="006C6CAB">
              <w:rPr>
                <w:sz w:val="20"/>
                <w:szCs w:val="20"/>
              </w:rPr>
              <w:t>Entrepreneurial skills development</w:t>
            </w:r>
          </w:p>
        </w:tc>
        <w:tc>
          <w:tcPr>
            <w:tcW w:w="637"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Pr>
                <w:sz w:val="20"/>
                <w:szCs w:val="20"/>
              </w:rPr>
              <w:t>SEDA and SEFA</w:t>
            </w:r>
          </w:p>
        </w:tc>
      </w:tr>
      <w:tr w:rsidR="006C1283" w:rsidTr="00BD2C21">
        <w:tc>
          <w:tcPr>
            <w:tcW w:w="405"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452" w:type="pct"/>
            <w:vMerge/>
            <w:shd w:val="clear" w:color="auto" w:fill="FBE4D5" w:themeFill="accent2" w:themeFillTint="33"/>
            <w:vAlign w:val="center"/>
          </w:tcPr>
          <w:p w:rsidR="006C1283" w:rsidRPr="006C6CAB" w:rsidRDefault="006C1283" w:rsidP="00155FFB">
            <w:pPr>
              <w:spacing w:beforeLines="60" w:before="144" w:afterLines="60" w:after="144"/>
              <w:rPr>
                <w:sz w:val="20"/>
                <w:szCs w:val="20"/>
              </w:rPr>
            </w:pPr>
          </w:p>
        </w:tc>
        <w:tc>
          <w:tcPr>
            <w:tcW w:w="3506"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Pr>
                <w:sz w:val="20"/>
                <w:szCs w:val="20"/>
              </w:rPr>
              <w:t>Secure the services of key partners such as SEDA, NYDA &amp; SEFA for access to funding and mentorship support programmes</w:t>
            </w:r>
          </w:p>
        </w:tc>
        <w:tc>
          <w:tcPr>
            <w:tcW w:w="637" w:type="pct"/>
            <w:shd w:val="clear" w:color="auto" w:fill="FBE4D5" w:themeFill="accent2" w:themeFillTint="33"/>
            <w:vAlign w:val="center"/>
          </w:tcPr>
          <w:p w:rsidR="006C1283" w:rsidRPr="006C6CAB" w:rsidRDefault="006C1283" w:rsidP="00155FFB">
            <w:pPr>
              <w:spacing w:beforeLines="60" w:before="144" w:afterLines="60" w:after="144"/>
              <w:rPr>
                <w:sz w:val="20"/>
                <w:szCs w:val="20"/>
              </w:rPr>
            </w:pPr>
            <w:r>
              <w:rPr>
                <w:sz w:val="20"/>
                <w:szCs w:val="20"/>
              </w:rPr>
              <w:t>Strategic Services</w:t>
            </w:r>
          </w:p>
        </w:tc>
      </w:tr>
      <w:tr w:rsidR="006C1283" w:rsidTr="00BD2C21">
        <w:tc>
          <w:tcPr>
            <w:tcW w:w="405" w:type="pct"/>
            <w:vMerge/>
            <w:shd w:val="clear" w:color="auto" w:fill="FBE4D5" w:themeFill="accent2" w:themeFillTint="33"/>
          </w:tcPr>
          <w:p w:rsidR="006C1283" w:rsidRPr="006C6CAB" w:rsidRDefault="006C1283" w:rsidP="001E2B83">
            <w:pPr>
              <w:spacing w:beforeLines="60" w:before="144" w:afterLines="60" w:after="144"/>
              <w:rPr>
                <w:sz w:val="20"/>
                <w:szCs w:val="20"/>
              </w:rPr>
            </w:pPr>
          </w:p>
        </w:tc>
        <w:tc>
          <w:tcPr>
            <w:tcW w:w="452" w:type="pct"/>
            <w:vMerge/>
            <w:shd w:val="clear" w:color="auto" w:fill="FBE4D5" w:themeFill="accent2" w:themeFillTint="33"/>
          </w:tcPr>
          <w:p w:rsidR="006C1283" w:rsidRPr="006C6CAB" w:rsidRDefault="006C1283" w:rsidP="001E2B83">
            <w:pPr>
              <w:spacing w:beforeLines="60" w:before="144" w:afterLines="60" w:after="144"/>
              <w:rPr>
                <w:sz w:val="20"/>
                <w:szCs w:val="20"/>
              </w:rPr>
            </w:pPr>
          </w:p>
        </w:tc>
        <w:tc>
          <w:tcPr>
            <w:tcW w:w="3506" w:type="pct"/>
            <w:shd w:val="clear" w:color="auto" w:fill="FBE4D5" w:themeFill="accent2" w:themeFillTint="33"/>
          </w:tcPr>
          <w:p w:rsidR="006C1283" w:rsidRPr="006C6CAB" w:rsidRDefault="006C1283" w:rsidP="001E2B83">
            <w:pPr>
              <w:spacing w:beforeLines="60" w:before="144" w:afterLines="60" w:after="144"/>
              <w:rPr>
                <w:sz w:val="20"/>
                <w:szCs w:val="20"/>
              </w:rPr>
            </w:pPr>
            <w:r>
              <w:rPr>
                <w:sz w:val="20"/>
                <w:szCs w:val="20"/>
              </w:rPr>
              <w:t>Support to SMME’s through online services, i.e. business registrations and templates as a service to business and start-ups</w:t>
            </w:r>
          </w:p>
        </w:tc>
        <w:tc>
          <w:tcPr>
            <w:tcW w:w="637" w:type="pct"/>
            <w:shd w:val="clear" w:color="auto" w:fill="FBE4D5" w:themeFill="accent2" w:themeFillTint="33"/>
          </w:tcPr>
          <w:p w:rsidR="006C1283" w:rsidRPr="006C6CAB" w:rsidRDefault="006C1283" w:rsidP="001E2B83">
            <w:pPr>
              <w:spacing w:beforeLines="60" w:before="144" w:afterLines="60" w:after="144"/>
              <w:rPr>
                <w:sz w:val="20"/>
                <w:szCs w:val="20"/>
              </w:rPr>
            </w:pPr>
          </w:p>
        </w:tc>
      </w:tr>
      <w:tr w:rsidR="00D247FA" w:rsidTr="00BD2C21">
        <w:trPr>
          <w:trHeight w:val="567"/>
        </w:trPr>
        <w:tc>
          <w:tcPr>
            <w:tcW w:w="405" w:type="pct"/>
            <w:vMerge w:val="restart"/>
            <w:shd w:val="clear" w:color="auto" w:fill="F2F2F2" w:themeFill="background1" w:themeFillShade="F2"/>
            <w:vAlign w:val="center"/>
          </w:tcPr>
          <w:p w:rsidR="00D247FA" w:rsidRPr="006C6CAB" w:rsidRDefault="00D247FA" w:rsidP="00155FFB">
            <w:pPr>
              <w:spacing w:before="60" w:after="60"/>
              <w:rPr>
                <w:sz w:val="20"/>
                <w:szCs w:val="20"/>
              </w:rPr>
            </w:pPr>
            <w:r w:rsidRPr="006C6CAB">
              <w:rPr>
                <w:sz w:val="20"/>
                <w:szCs w:val="20"/>
              </w:rPr>
              <w:t>Informal Trade</w:t>
            </w:r>
          </w:p>
        </w:tc>
        <w:tc>
          <w:tcPr>
            <w:tcW w:w="452" w:type="pct"/>
            <w:vMerge w:val="restart"/>
            <w:shd w:val="clear" w:color="auto" w:fill="F2F2F2" w:themeFill="background1" w:themeFillShade="F2"/>
            <w:vAlign w:val="center"/>
          </w:tcPr>
          <w:p w:rsidR="00D247FA" w:rsidRPr="006C6CAB" w:rsidRDefault="00D247FA" w:rsidP="00155FFB">
            <w:pPr>
              <w:spacing w:before="60" w:after="60"/>
              <w:rPr>
                <w:sz w:val="20"/>
                <w:szCs w:val="20"/>
              </w:rPr>
            </w:pPr>
            <w:r w:rsidRPr="006C6CAB">
              <w:rPr>
                <w:sz w:val="20"/>
                <w:szCs w:val="20"/>
              </w:rPr>
              <w:t>Information dissemination</w:t>
            </w:r>
          </w:p>
        </w:tc>
        <w:tc>
          <w:tcPr>
            <w:tcW w:w="3506" w:type="pct"/>
            <w:shd w:val="clear" w:color="auto" w:fill="F2F2F2" w:themeFill="background1" w:themeFillShade="F2"/>
            <w:vAlign w:val="center"/>
          </w:tcPr>
          <w:p w:rsidR="00D247FA" w:rsidRPr="006C6CAB" w:rsidRDefault="006C1283" w:rsidP="00155FFB">
            <w:pPr>
              <w:spacing w:before="60" w:after="60"/>
              <w:rPr>
                <w:sz w:val="20"/>
                <w:szCs w:val="20"/>
              </w:rPr>
            </w:pPr>
            <w:r w:rsidRPr="006C6CAB">
              <w:rPr>
                <w:sz w:val="20"/>
                <w:szCs w:val="20"/>
              </w:rPr>
              <w:t>Guide small business sector where to find assistance to apply for relief/stimulus packages (</w:t>
            </w:r>
            <w:hyperlink r:id="rId24" w:history="1">
              <w:r w:rsidRPr="006C6CAB">
                <w:rPr>
                  <w:rStyle w:val="Hyperlink"/>
                  <w:sz w:val="20"/>
                  <w:szCs w:val="20"/>
                </w:rPr>
                <w:t>www.supportbusiness.co.za</w:t>
              </w:r>
            </w:hyperlink>
            <w:r w:rsidRPr="006C6CAB">
              <w:rPr>
                <w:sz w:val="20"/>
                <w:szCs w:val="20"/>
              </w:rPr>
              <w:t xml:space="preserve">, </w:t>
            </w:r>
            <w:hyperlink r:id="rId25" w:history="1">
              <w:r w:rsidRPr="006C6CAB">
                <w:rPr>
                  <w:rStyle w:val="Hyperlink"/>
                  <w:sz w:val="20"/>
                  <w:szCs w:val="20"/>
                </w:rPr>
                <w:t>www.bizportal.gov.za</w:t>
              </w:r>
            </w:hyperlink>
            <w:r w:rsidRPr="006C6CAB">
              <w:rPr>
                <w:sz w:val="20"/>
                <w:szCs w:val="20"/>
              </w:rPr>
              <w:t>,  etc.</w:t>
            </w:r>
          </w:p>
        </w:tc>
        <w:tc>
          <w:tcPr>
            <w:tcW w:w="637" w:type="pct"/>
            <w:shd w:val="clear" w:color="auto" w:fill="F2F2F2" w:themeFill="background1" w:themeFillShade="F2"/>
            <w:vAlign w:val="center"/>
          </w:tcPr>
          <w:p w:rsidR="00D247FA" w:rsidRPr="006C6CAB" w:rsidRDefault="006C1283" w:rsidP="00155FFB">
            <w:pPr>
              <w:spacing w:before="60" w:after="60"/>
              <w:rPr>
                <w:sz w:val="20"/>
                <w:szCs w:val="20"/>
              </w:rPr>
            </w:pPr>
            <w:r>
              <w:rPr>
                <w:sz w:val="20"/>
                <w:szCs w:val="20"/>
              </w:rPr>
              <w:t>Strategic Services</w:t>
            </w:r>
          </w:p>
        </w:tc>
      </w:tr>
      <w:tr w:rsidR="00D247FA" w:rsidTr="00BD2C21">
        <w:trPr>
          <w:trHeight w:val="567"/>
        </w:trPr>
        <w:tc>
          <w:tcPr>
            <w:tcW w:w="405" w:type="pct"/>
            <w:vMerge/>
            <w:shd w:val="clear" w:color="auto" w:fill="F2F2F2" w:themeFill="background1" w:themeFillShade="F2"/>
            <w:vAlign w:val="center"/>
          </w:tcPr>
          <w:p w:rsidR="00D247FA" w:rsidRPr="006C6CAB" w:rsidRDefault="00D247FA" w:rsidP="00155FFB">
            <w:pPr>
              <w:spacing w:before="60" w:after="60"/>
              <w:rPr>
                <w:sz w:val="20"/>
                <w:szCs w:val="20"/>
              </w:rPr>
            </w:pPr>
          </w:p>
        </w:tc>
        <w:tc>
          <w:tcPr>
            <w:tcW w:w="452" w:type="pct"/>
            <w:vMerge/>
            <w:shd w:val="clear" w:color="auto" w:fill="F2F2F2" w:themeFill="background1" w:themeFillShade="F2"/>
            <w:vAlign w:val="center"/>
          </w:tcPr>
          <w:p w:rsidR="00D247FA" w:rsidRPr="006C6CAB" w:rsidRDefault="00D247FA" w:rsidP="00155FFB">
            <w:pPr>
              <w:spacing w:before="60" w:after="60"/>
              <w:rPr>
                <w:sz w:val="20"/>
                <w:szCs w:val="20"/>
              </w:rPr>
            </w:pPr>
          </w:p>
        </w:tc>
        <w:tc>
          <w:tcPr>
            <w:tcW w:w="3506" w:type="pct"/>
            <w:shd w:val="clear" w:color="auto" w:fill="F2F2F2" w:themeFill="background1" w:themeFillShade="F2"/>
            <w:vAlign w:val="center"/>
          </w:tcPr>
          <w:p w:rsidR="00D247FA" w:rsidRPr="006C6CAB" w:rsidRDefault="00D247FA" w:rsidP="00155FFB">
            <w:pPr>
              <w:spacing w:before="60" w:after="60"/>
              <w:rPr>
                <w:sz w:val="20"/>
                <w:szCs w:val="20"/>
              </w:rPr>
            </w:pPr>
            <w:r w:rsidRPr="006C6CAB">
              <w:rPr>
                <w:sz w:val="20"/>
                <w:szCs w:val="20"/>
              </w:rPr>
              <w:t xml:space="preserve">Guide and advice business </w:t>
            </w:r>
            <w:proofErr w:type="spellStart"/>
            <w:r w:rsidRPr="006C6CAB">
              <w:rPr>
                <w:sz w:val="20"/>
                <w:szCs w:val="20"/>
              </w:rPr>
              <w:t>ito</w:t>
            </w:r>
            <w:proofErr w:type="spellEnd"/>
            <w:r w:rsidRPr="006C6CAB">
              <w:rPr>
                <w:sz w:val="20"/>
                <w:szCs w:val="20"/>
              </w:rPr>
              <w:t xml:space="preserve"> the regulations and health protocol</w:t>
            </w:r>
          </w:p>
        </w:tc>
        <w:tc>
          <w:tcPr>
            <w:tcW w:w="637" w:type="pct"/>
            <w:shd w:val="clear" w:color="auto" w:fill="F2F2F2" w:themeFill="background1" w:themeFillShade="F2"/>
            <w:vAlign w:val="center"/>
          </w:tcPr>
          <w:p w:rsidR="00D247FA" w:rsidRPr="006C6CAB" w:rsidRDefault="006C1283" w:rsidP="00155FFB">
            <w:pPr>
              <w:spacing w:before="60" w:after="60"/>
              <w:rPr>
                <w:sz w:val="20"/>
                <w:szCs w:val="20"/>
              </w:rPr>
            </w:pPr>
            <w:r>
              <w:rPr>
                <w:sz w:val="20"/>
                <w:szCs w:val="20"/>
              </w:rPr>
              <w:t>Strategic Services</w:t>
            </w:r>
          </w:p>
        </w:tc>
      </w:tr>
      <w:tr w:rsidR="00D247FA" w:rsidTr="00BD2C21">
        <w:trPr>
          <w:trHeight w:val="567"/>
        </w:trPr>
        <w:tc>
          <w:tcPr>
            <w:tcW w:w="405" w:type="pct"/>
            <w:vMerge/>
            <w:shd w:val="clear" w:color="auto" w:fill="F2F2F2" w:themeFill="background1" w:themeFillShade="F2"/>
            <w:vAlign w:val="center"/>
          </w:tcPr>
          <w:p w:rsidR="00D247FA" w:rsidRPr="006C6CAB" w:rsidRDefault="00D247FA" w:rsidP="00155FFB">
            <w:pPr>
              <w:spacing w:before="60" w:after="60"/>
              <w:rPr>
                <w:sz w:val="20"/>
                <w:szCs w:val="20"/>
              </w:rPr>
            </w:pPr>
          </w:p>
        </w:tc>
        <w:tc>
          <w:tcPr>
            <w:tcW w:w="452" w:type="pct"/>
            <w:shd w:val="clear" w:color="auto" w:fill="F2F2F2" w:themeFill="background1" w:themeFillShade="F2"/>
            <w:vAlign w:val="center"/>
          </w:tcPr>
          <w:p w:rsidR="00D247FA" w:rsidRPr="006C6CAB" w:rsidRDefault="00D247FA" w:rsidP="00155FFB">
            <w:pPr>
              <w:spacing w:before="60" w:after="60"/>
              <w:rPr>
                <w:sz w:val="20"/>
                <w:szCs w:val="20"/>
              </w:rPr>
            </w:pPr>
            <w:r>
              <w:rPr>
                <w:sz w:val="20"/>
                <w:szCs w:val="20"/>
              </w:rPr>
              <w:t>Formal sector</w:t>
            </w:r>
          </w:p>
        </w:tc>
        <w:tc>
          <w:tcPr>
            <w:tcW w:w="3506" w:type="pct"/>
            <w:shd w:val="clear" w:color="auto" w:fill="F2F2F2" w:themeFill="background1" w:themeFillShade="F2"/>
            <w:vAlign w:val="center"/>
          </w:tcPr>
          <w:p w:rsidR="00D247FA" w:rsidRPr="006C6CAB" w:rsidRDefault="00D247FA" w:rsidP="00155FFB">
            <w:pPr>
              <w:spacing w:before="60" w:after="60"/>
              <w:rPr>
                <w:sz w:val="20"/>
                <w:szCs w:val="20"/>
              </w:rPr>
            </w:pPr>
            <w:r>
              <w:rPr>
                <w:sz w:val="20"/>
                <w:szCs w:val="20"/>
              </w:rPr>
              <w:t>Invest in formalising the informal sector</w:t>
            </w:r>
          </w:p>
        </w:tc>
        <w:tc>
          <w:tcPr>
            <w:tcW w:w="637" w:type="pct"/>
            <w:shd w:val="clear" w:color="auto" w:fill="F2F2F2" w:themeFill="background1" w:themeFillShade="F2"/>
            <w:vAlign w:val="center"/>
          </w:tcPr>
          <w:p w:rsidR="00D247FA" w:rsidRPr="006C6CAB" w:rsidRDefault="006C1283" w:rsidP="00155FFB">
            <w:pPr>
              <w:spacing w:before="60" w:after="60"/>
              <w:rPr>
                <w:sz w:val="20"/>
                <w:szCs w:val="20"/>
              </w:rPr>
            </w:pPr>
            <w:r>
              <w:rPr>
                <w:sz w:val="20"/>
                <w:szCs w:val="20"/>
              </w:rPr>
              <w:t>SEDA</w:t>
            </w:r>
          </w:p>
        </w:tc>
      </w:tr>
      <w:tr w:rsidR="00D247FA" w:rsidTr="00BD2C21">
        <w:trPr>
          <w:trHeight w:val="567"/>
        </w:trPr>
        <w:tc>
          <w:tcPr>
            <w:tcW w:w="405" w:type="pct"/>
            <w:vMerge/>
            <w:shd w:val="clear" w:color="auto" w:fill="F2F2F2" w:themeFill="background1" w:themeFillShade="F2"/>
            <w:vAlign w:val="center"/>
          </w:tcPr>
          <w:p w:rsidR="00D247FA" w:rsidRPr="006C6CAB" w:rsidRDefault="00D247FA" w:rsidP="00155FFB">
            <w:pPr>
              <w:spacing w:before="60" w:after="60"/>
              <w:rPr>
                <w:sz w:val="20"/>
                <w:szCs w:val="20"/>
              </w:rPr>
            </w:pPr>
          </w:p>
        </w:tc>
        <w:tc>
          <w:tcPr>
            <w:tcW w:w="452" w:type="pct"/>
            <w:shd w:val="clear" w:color="auto" w:fill="F2F2F2" w:themeFill="background1" w:themeFillShade="F2"/>
            <w:vAlign w:val="center"/>
          </w:tcPr>
          <w:p w:rsidR="00D247FA" w:rsidRPr="006C6CAB" w:rsidRDefault="00D247FA" w:rsidP="00155FFB">
            <w:pPr>
              <w:spacing w:before="60" w:after="60"/>
              <w:rPr>
                <w:sz w:val="20"/>
                <w:szCs w:val="20"/>
              </w:rPr>
            </w:pPr>
            <w:r>
              <w:rPr>
                <w:sz w:val="20"/>
                <w:szCs w:val="20"/>
              </w:rPr>
              <w:t>Stalls</w:t>
            </w:r>
          </w:p>
        </w:tc>
        <w:tc>
          <w:tcPr>
            <w:tcW w:w="3506" w:type="pct"/>
            <w:shd w:val="clear" w:color="auto" w:fill="F2F2F2" w:themeFill="background1" w:themeFillShade="F2"/>
            <w:vAlign w:val="center"/>
          </w:tcPr>
          <w:p w:rsidR="00D247FA" w:rsidRPr="006C6CAB" w:rsidRDefault="00D247FA" w:rsidP="00155FFB">
            <w:pPr>
              <w:spacing w:before="60" w:after="60"/>
              <w:rPr>
                <w:sz w:val="20"/>
                <w:szCs w:val="20"/>
              </w:rPr>
            </w:pPr>
            <w:r>
              <w:rPr>
                <w:sz w:val="20"/>
                <w:szCs w:val="20"/>
              </w:rPr>
              <w:t>Consider relief measures for tenants of stalls for a period</w:t>
            </w:r>
          </w:p>
        </w:tc>
        <w:tc>
          <w:tcPr>
            <w:tcW w:w="637" w:type="pct"/>
            <w:shd w:val="clear" w:color="auto" w:fill="F2F2F2" w:themeFill="background1" w:themeFillShade="F2"/>
            <w:vAlign w:val="center"/>
          </w:tcPr>
          <w:p w:rsidR="00D247FA" w:rsidRPr="006C6CAB" w:rsidRDefault="006C1283" w:rsidP="00155FFB">
            <w:pPr>
              <w:spacing w:before="60" w:after="60"/>
              <w:rPr>
                <w:sz w:val="20"/>
                <w:szCs w:val="20"/>
              </w:rPr>
            </w:pPr>
            <w:r>
              <w:rPr>
                <w:sz w:val="20"/>
                <w:szCs w:val="20"/>
              </w:rPr>
              <w:t>SEDA</w:t>
            </w:r>
          </w:p>
        </w:tc>
      </w:tr>
      <w:tr w:rsidR="00230AFB" w:rsidTr="001F7D5A">
        <w:trPr>
          <w:trHeight w:val="918"/>
        </w:trPr>
        <w:tc>
          <w:tcPr>
            <w:tcW w:w="405" w:type="pct"/>
            <w:vMerge w:val="restart"/>
            <w:shd w:val="clear" w:color="auto" w:fill="D5DCE4" w:themeFill="text2" w:themeFillTint="33"/>
            <w:vAlign w:val="center"/>
          </w:tcPr>
          <w:p w:rsidR="00230AFB" w:rsidRPr="006C6CAB" w:rsidRDefault="00230AFB" w:rsidP="00155FFB">
            <w:pPr>
              <w:spacing w:before="60" w:after="60"/>
              <w:rPr>
                <w:sz w:val="20"/>
                <w:szCs w:val="20"/>
              </w:rPr>
            </w:pPr>
            <w:r w:rsidRPr="006C6CAB">
              <w:rPr>
                <w:sz w:val="20"/>
                <w:szCs w:val="20"/>
              </w:rPr>
              <w:t>Municipal Services</w:t>
            </w:r>
          </w:p>
        </w:tc>
        <w:tc>
          <w:tcPr>
            <w:tcW w:w="452" w:type="pct"/>
            <w:shd w:val="clear" w:color="auto" w:fill="D5DCE4" w:themeFill="text2" w:themeFillTint="33"/>
            <w:vAlign w:val="center"/>
          </w:tcPr>
          <w:p w:rsidR="00230AFB" w:rsidRPr="006C6CAB" w:rsidRDefault="00230AFB" w:rsidP="00155FFB">
            <w:pPr>
              <w:spacing w:before="60" w:after="60"/>
              <w:rPr>
                <w:sz w:val="20"/>
                <w:szCs w:val="20"/>
              </w:rPr>
            </w:pPr>
            <w:r>
              <w:rPr>
                <w:sz w:val="20"/>
                <w:szCs w:val="20"/>
              </w:rPr>
              <w:t>Rebates &amp; other financial assistance</w:t>
            </w:r>
          </w:p>
        </w:tc>
        <w:tc>
          <w:tcPr>
            <w:tcW w:w="3506" w:type="pct"/>
            <w:shd w:val="clear" w:color="auto" w:fill="D5DCE4" w:themeFill="text2" w:themeFillTint="33"/>
            <w:vAlign w:val="center"/>
          </w:tcPr>
          <w:p w:rsidR="00230AFB" w:rsidRPr="006C6CAB" w:rsidRDefault="00230AFB"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Ensure continuous registration of indigents</w:t>
            </w:r>
          </w:p>
        </w:tc>
        <w:tc>
          <w:tcPr>
            <w:tcW w:w="637" w:type="pct"/>
            <w:shd w:val="clear" w:color="auto" w:fill="D5DCE4" w:themeFill="text2" w:themeFillTint="33"/>
            <w:vAlign w:val="center"/>
          </w:tcPr>
          <w:p w:rsidR="00230AFB" w:rsidRPr="006C6CAB" w:rsidRDefault="00230AFB" w:rsidP="00155FFB">
            <w:pPr>
              <w:spacing w:before="60" w:after="60"/>
              <w:rPr>
                <w:sz w:val="20"/>
                <w:szCs w:val="20"/>
              </w:rPr>
            </w:pPr>
            <w:r>
              <w:rPr>
                <w:sz w:val="20"/>
                <w:szCs w:val="20"/>
              </w:rPr>
              <w:t>Financial Services</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Preferential Procurement</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Ensure that infrastructure projects and other material supply programmes benefit local businesses.</w:t>
            </w:r>
            <w:r w:rsidRPr="006C6CAB">
              <w:rPr>
                <w:rFonts w:asciiTheme="minorHAnsi" w:hAnsiTheme="minorHAnsi" w:cstheme="minorHAnsi"/>
                <w:sz w:val="20"/>
                <w:szCs w:val="20"/>
              </w:rPr>
              <w:t xml:space="preserve"> </w:t>
            </w:r>
          </w:p>
        </w:tc>
        <w:tc>
          <w:tcPr>
            <w:tcW w:w="637" w:type="pct"/>
            <w:shd w:val="clear" w:color="auto" w:fill="D5DCE4" w:themeFill="text2" w:themeFillTint="33"/>
            <w:vAlign w:val="center"/>
          </w:tcPr>
          <w:p w:rsidR="00D247FA" w:rsidRPr="006C6CAB" w:rsidRDefault="006C1283" w:rsidP="00155FFB">
            <w:pPr>
              <w:spacing w:before="60" w:after="60"/>
              <w:rPr>
                <w:sz w:val="20"/>
                <w:szCs w:val="20"/>
              </w:rPr>
            </w:pPr>
            <w:r>
              <w:rPr>
                <w:rFonts w:cstheme="minorHAnsi"/>
                <w:sz w:val="20"/>
                <w:szCs w:val="20"/>
              </w:rPr>
              <w:t xml:space="preserve">Technical </w:t>
            </w:r>
            <w:proofErr w:type="spellStart"/>
            <w:r>
              <w:rPr>
                <w:rFonts w:cstheme="minorHAnsi"/>
                <w:sz w:val="20"/>
                <w:szCs w:val="20"/>
              </w:rPr>
              <w:t>Servcies</w:t>
            </w:r>
            <w:proofErr w:type="spellEnd"/>
            <w:r>
              <w:rPr>
                <w:rFonts w:cstheme="minorHAnsi"/>
                <w:sz w:val="20"/>
                <w:szCs w:val="20"/>
              </w:rPr>
              <w:t xml:space="preserve">, </w:t>
            </w:r>
            <w:r w:rsidR="00D247FA" w:rsidRPr="006C6CAB">
              <w:rPr>
                <w:rFonts w:cstheme="minorHAnsi"/>
                <w:sz w:val="20"/>
                <w:szCs w:val="20"/>
              </w:rPr>
              <w:t>Supply chain</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Job creation</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sidRPr="006C6CAB">
              <w:rPr>
                <w:rFonts w:asciiTheme="minorHAnsi" w:hAnsiTheme="minorHAnsi" w:cstheme="minorHAnsi"/>
                <w:sz w:val="20"/>
                <w:szCs w:val="20"/>
              </w:rPr>
              <w:t>Use infrastructure for job creation and business development</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EPWP</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Red tape</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Minimisation of regulatory and red tape barriers – real and perceived</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All</w:t>
            </w:r>
          </w:p>
        </w:tc>
      </w:tr>
      <w:tr w:rsidR="00D247FA" w:rsidTr="00BD2C21">
        <w:trPr>
          <w:trHeight w:val="454"/>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Infrastructure – Basic services</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 xml:space="preserve">Ensure that the underserved communities have basic amenities such as water, electricity, sanitation – </w:t>
            </w:r>
            <w:r w:rsidR="006C0D7B">
              <w:rPr>
                <w:rFonts w:asciiTheme="minorHAnsi" w:hAnsiTheme="minorHAnsi" w:cstheme="minorHAnsi"/>
                <w:sz w:val="20"/>
                <w:szCs w:val="20"/>
              </w:rPr>
              <w:t>all aided by Smart Cities and I</w:t>
            </w:r>
            <w:r>
              <w:rPr>
                <w:rFonts w:asciiTheme="minorHAnsi" w:hAnsiTheme="minorHAnsi" w:cstheme="minorHAnsi"/>
                <w:sz w:val="20"/>
                <w:szCs w:val="20"/>
              </w:rPr>
              <w:t>T for improved service</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Technical Services</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Water</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sidRPr="006C6CAB">
              <w:rPr>
                <w:rFonts w:asciiTheme="minorHAnsi" w:hAnsiTheme="minorHAnsi" w:cstheme="minorHAnsi"/>
                <w:sz w:val="20"/>
                <w:szCs w:val="20"/>
              </w:rPr>
              <w:t>Expand alien clearance programme to increase water supply</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Technical Services</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Energy</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sidRPr="006C6CAB">
              <w:rPr>
                <w:rFonts w:asciiTheme="minorHAnsi" w:hAnsiTheme="minorHAnsi" w:cstheme="minorHAnsi"/>
                <w:sz w:val="20"/>
                <w:szCs w:val="20"/>
              </w:rPr>
              <w:t>Drive IPP up-take in municipality of energy</w:t>
            </w:r>
            <w:r>
              <w:rPr>
                <w:rFonts w:asciiTheme="minorHAnsi" w:hAnsiTheme="minorHAnsi" w:cstheme="minorHAnsi"/>
                <w:sz w:val="20"/>
                <w:szCs w:val="20"/>
              </w:rPr>
              <w:t>.  Investigate in alternative energy solutions</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Technical services</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Waste management</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Facilitate the application at SEDA for the Waste Ambassadors</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Strategic services</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vMerge w:val="restar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EPWP</w:t>
            </w:r>
          </w:p>
        </w:tc>
        <w:tc>
          <w:tcPr>
            <w:tcW w:w="3506" w:type="pct"/>
            <w:shd w:val="clear" w:color="auto" w:fill="D5DCE4" w:themeFill="tex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Maximise employment of semi- &amp; unskilled workers through municipal programmes</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r>
              <w:rPr>
                <w:sz w:val="20"/>
                <w:szCs w:val="20"/>
              </w:rPr>
              <w:t>All</w:t>
            </w:r>
          </w:p>
        </w:tc>
      </w:tr>
      <w:tr w:rsidR="00D247FA" w:rsidTr="00BD2C21">
        <w:trPr>
          <w:trHeight w:val="567"/>
        </w:trPr>
        <w:tc>
          <w:tcPr>
            <w:tcW w:w="405" w:type="pct"/>
            <w:vMerge/>
            <w:shd w:val="clear" w:color="auto" w:fill="D5DCE4" w:themeFill="text2" w:themeFillTint="33"/>
            <w:vAlign w:val="center"/>
          </w:tcPr>
          <w:p w:rsidR="00D247FA" w:rsidRPr="006C6CAB" w:rsidRDefault="00D247FA" w:rsidP="00155FFB">
            <w:pPr>
              <w:spacing w:before="60" w:after="60"/>
              <w:rPr>
                <w:sz w:val="20"/>
                <w:szCs w:val="20"/>
              </w:rPr>
            </w:pPr>
          </w:p>
        </w:tc>
        <w:tc>
          <w:tcPr>
            <w:tcW w:w="452" w:type="pct"/>
            <w:vMerge/>
            <w:shd w:val="clear" w:color="auto" w:fill="D5DCE4" w:themeFill="text2" w:themeFillTint="33"/>
            <w:vAlign w:val="center"/>
          </w:tcPr>
          <w:p w:rsidR="00D247FA" w:rsidRDefault="00D247FA" w:rsidP="00155FFB">
            <w:pPr>
              <w:spacing w:before="60" w:after="60"/>
              <w:rPr>
                <w:sz w:val="20"/>
                <w:szCs w:val="20"/>
              </w:rPr>
            </w:pPr>
          </w:p>
        </w:tc>
        <w:tc>
          <w:tcPr>
            <w:tcW w:w="3506" w:type="pct"/>
            <w:shd w:val="clear" w:color="auto" w:fill="D5DCE4" w:themeFill="text2" w:themeFillTint="33"/>
            <w:vAlign w:val="center"/>
          </w:tcPr>
          <w:p w:rsidR="00D247FA"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Address identified socio-economic weakness area, such as single household mothers and unemployed youth</w:t>
            </w:r>
          </w:p>
        </w:tc>
        <w:tc>
          <w:tcPr>
            <w:tcW w:w="637" w:type="pct"/>
            <w:shd w:val="clear" w:color="auto" w:fill="D5DCE4" w:themeFill="text2" w:themeFillTint="33"/>
            <w:vAlign w:val="center"/>
          </w:tcPr>
          <w:p w:rsidR="00D247FA" w:rsidRPr="006C6CAB" w:rsidRDefault="00D247FA" w:rsidP="00155FFB">
            <w:pPr>
              <w:spacing w:before="60" w:after="60"/>
              <w:rPr>
                <w:sz w:val="20"/>
                <w:szCs w:val="20"/>
              </w:rPr>
            </w:pPr>
          </w:p>
        </w:tc>
      </w:tr>
      <w:tr w:rsidR="00D247FA" w:rsidTr="00BD2C21">
        <w:trPr>
          <w:trHeight w:val="567"/>
        </w:trPr>
        <w:tc>
          <w:tcPr>
            <w:tcW w:w="405" w:type="pct"/>
            <w:shd w:val="clear" w:color="auto" w:fill="FBE4D5" w:themeFill="accent2" w:themeFillTint="33"/>
            <w:vAlign w:val="center"/>
          </w:tcPr>
          <w:p w:rsidR="00D247FA" w:rsidRPr="006C6CAB" w:rsidRDefault="00D247FA" w:rsidP="00155FFB">
            <w:pPr>
              <w:spacing w:before="60" w:after="60"/>
              <w:rPr>
                <w:sz w:val="20"/>
                <w:szCs w:val="20"/>
              </w:rPr>
            </w:pPr>
            <w:proofErr w:type="spellStart"/>
            <w:r w:rsidRPr="006C6CAB">
              <w:rPr>
                <w:sz w:val="20"/>
                <w:szCs w:val="20"/>
              </w:rPr>
              <w:t>Manufac</w:t>
            </w:r>
            <w:r>
              <w:rPr>
                <w:sz w:val="20"/>
                <w:szCs w:val="20"/>
              </w:rPr>
              <w:t>-</w:t>
            </w:r>
            <w:r w:rsidRPr="006C6CAB">
              <w:rPr>
                <w:sz w:val="20"/>
                <w:szCs w:val="20"/>
              </w:rPr>
              <w:t>turing</w:t>
            </w:r>
            <w:proofErr w:type="spellEnd"/>
          </w:p>
        </w:tc>
        <w:tc>
          <w:tcPr>
            <w:tcW w:w="452" w:type="pct"/>
            <w:shd w:val="clear" w:color="auto" w:fill="FBE4D5" w:themeFill="accent2" w:themeFillTint="33"/>
            <w:vAlign w:val="center"/>
          </w:tcPr>
          <w:p w:rsidR="00D247FA" w:rsidRPr="006C6CAB" w:rsidRDefault="00D247FA" w:rsidP="00155FFB">
            <w:pPr>
              <w:spacing w:before="60" w:after="60"/>
              <w:rPr>
                <w:sz w:val="20"/>
                <w:szCs w:val="20"/>
              </w:rPr>
            </w:pPr>
          </w:p>
        </w:tc>
        <w:tc>
          <w:tcPr>
            <w:tcW w:w="3506" w:type="pct"/>
            <w:shd w:val="clear" w:color="auto" w:fill="FBE4D5" w:themeFill="accent2" w:themeFillTint="33"/>
            <w:vAlign w:val="center"/>
          </w:tcPr>
          <w:p w:rsidR="00D247FA" w:rsidRPr="006C6CAB" w:rsidRDefault="00F173D7"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Diversif</w:t>
            </w:r>
            <w:r w:rsidR="00D247FA" w:rsidRPr="006C6CAB">
              <w:rPr>
                <w:rFonts w:asciiTheme="minorHAnsi" w:hAnsiTheme="minorHAnsi" w:cstheme="minorHAnsi"/>
                <w:sz w:val="20"/>
                <w:szCs w:val="20"/>
              </w:rPr>
              <w:t>y the economy through the Saldanha IDZ</w:t>
            </w:r>
            <w:r w:rsidR="00D247FA">
              <w:rPr>
                <w:rFonts w:asciiTheme="minorHAnsi" w:hAnsiTheme="minorHAnsi" w:cstheme="minorHAnsi"/>
                <w:sz w:val="20"/>
                <w:szCs w:val="20"/>
              </w:rPr>
              <w:t xml:space="preserve"> – details to be discussed</w:t>
            </w:r>
          </w:p>
        </w:tc>
        <w:tc>
          <w:tcPr>
            <w:tcW w:w="637" w:type="pct"/>
            <w:shd w:val="clear" w:color="auto" w:fill="FBE4D5" w:themeFill="accent2" w:themeFillTint="33"/>
            <w:vAlign w:val="center"/>
          </w:tcPr>
          <w:p w:rsidR="00D247FA" w:rsidRPr="006C6CAB" w:rsidRDefault="00D247FA" w:rsidP="00155FFB">
            <w:pPr>
              <w:spacing w:before="60" w:after="60"/>
              <w:rPr>
                <w:sz w:val="20"/>
                <w:szCs w:val="20"/>
              </w:rPr>
            </w:pPr>
            <w:r>
              <w:rPr>
                <w:sz w:val="20"/>
                <w:szCs w:val="20"/>
              </w:rPr>
              <w:t>Strategic Services</w:t>
            </w:r>
          </w:p>
        </w:tc>
      </w:tr>
      <w:tr w:rsidR="006C1283" w:rsidTr="00BD2C21">
        <w:trPr>
          <w:trHeight w:val="567"/>
        </w:trPr>
        <w:tc>
          <w:tcPr>
            <w:tcW w:w="405" w:type="pct"/>
            <w:vMerge w:val="restart"/>
            <w:shd w:val="clear" w:color="auto" w:fill="C5E0B3" w:themeFill="accent6" w:themeFillTint="66"/>
            <w:vAlign w:val="center"/>
          </w:tcPr>
          <w:p w:rsidR="006C1283" w:rsidRPr="006C6CAB" w:rsidRDefault="006C1283" w:rsidP="00155FFB">
            <w:pPr>
              <w:spacing w:before="60" w:after="60"/>
              <w:rPr>
                <w:sz w:val="20"/>
                <w:szCs w:val="20"/>
              </w:rPr>
            </w:pPr>
            <w:r>
              <w:rPr>
                <w:sz w:val="20"/>
                <w:szCs w:val="20"/>
              </w:rPr>
              <w:t>ICT – Smart city develop-ment</w:t>
            </w:r>
          </w:p>
        </w:tc>
        <w:tc>
          <w:tcPr>
            <w:tcW w:w="452" w:type="pct"/>
            <w:shd w:val="clear" w:color="auto" w:fill="C5E0B3" w:themeFill="accent6" w:themeFillTint="66"/>
            <w:vAlign w:val="center"/>
          </w:tcPr>
          <w:p w:rsidR="006C1283" w:rsidRPr="006C6CAB" w:rsidRDefault="006C1283" w:rsidP="00155FFB">
            <w:pPr>
              <w:spacing w:before="60" w:after="60"/>
              <w:rPr>
                <w:sz w:val="20"/>
                <w:szCs w:val="20"/>
              </w:rPr>
            </w:pPr>
          </w:p>
        </w:tc>
        <w:tc>
          <w:tcPr>
            <w:tcW w:w="3506" w:type="pct"/>
            <w:shd w:val="clear" w:color="auto" w:fill="C5E0B3" w:themeFill="accent6" w:themeFillTint="66"/>
            <w:vAlign w:val="center"/>
          </w:tcPr>
          <w:p w:rsidR="006C1283" w:rsidRPr="006C6CAB" w:rsidRDefault="006C1283"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Accele</w:t>
            </w:r>
            <w:r w:rsidRPr="006C6CAB">
              <w:rPr>
                <w:rFonts w:asciiTheme="minorHAnsi" w:hAnsiTheme="minorHAnsi" w:cstheme="minorHAnsi"/>
                <w:sz w:val="20"/>
                <w:szCs w:val="20"/>
              </w:rPr>
              <w:t>rate digital skills supply</w:t>
            </w:r>
          </w:p>
        </w:tc>
        <w:tc>
          <w:tcPr>
            <w:tcW w:w="637" w:type="pct"/>
            <w:shd w:val="clear" w:color="auto" w:fill="C5E0B3" w:themeFill="accent6" w:themeFillTint="66"/>
            <w:vAlign w:val="center"/>
          </w:tcPr>
          <w:p w:rsidR="006C1283" w:rsidRPr="006C6CAB" w:rsidRDefault="006C1283" w:rsidP="00155FFB">
            <w:pPr>
              <w:spacing w:before="60" w:after="60"/>
              <w:rPr>
                <w:sz w:val="20"/>
                <w:szCs w:val="20"/>
              </w:rPr>
            </w:pPr>
          </w:p>
        </w:tc>
      </w:tr>
      <w:tr w:rsidR="006C1283" w:rsidTr="00BD2C21">
        <w:trPr>
          <w:trHeight w:val="567"/>
        </w:trPr>
        <w:tc>
          <w:tcPr>
            <w:tcW w:w="405" w:type="pct"/>
            <w:vMerge/>
            <w:shd w:val="clear" w:color="auto" w:fill="C5E0B3" w:themeFill="accent6" w:themeFillTint="66"/>
            <w:vAlign w:val="center"/>
          </w:tcPr>
          <w:p w:rsidR="006C1283" w:rsidRPr="006C6CAB" w:rsidRDefault="006C1283" w:rsidP="00155FFB">
            <w:pPr>
              <w:spacing w:before="60" w:after="60"/>
              <w:rPr>
                <w:sz w:val="20"/>
                <w:szCs w:val="20"/>
              </w:rPr>
            </w:pPr>
          </w:p>
        </w:tc>
        <w:tc>
          <w:tcPr>
            <w:tcW w:w="452" w:type="pct"/>
            <w:shd w:val="clear" w:color="auto" w:fill="C5E0B3" w:themeFill="accent6" w:themeFillTint="66"/>
            <w:vAlign w:val="center"/>
          </w:tcPr>
          <w:p w:rsidR="006C1283" w:rsidRPr="006C6CAB" w:rsidRDefault="006C1283" w:rsidP="00155FFB">
            <w:pPr>
              <w:spacing w:before="60" w:after="60"/>
              <w:rPr>
                <w:sz w:val="20"/>
                <w:szCs w:val="20"/>
              </w:rPr>
            </w:pPr>
          </w:p>
        </w:tc>
        <w:tc>
          <w:tcPr>
            <w:tcW w:w="3506" w:type="pct"/>
            <w:shd w:val="clear" w:color="auto" w:fill="C5E0B3" w:themeFill="accent6" w:themeFillTint="66"/>
            <w:vAlign w:val="center"/>
          </w:tcPr>
          <w:p w:rsidR="006C1283" w:rsidRPr="006C6CAB" w:rsidRDefault="006C1283" w:rsidP="00155FFB">
            <w:pPr>
              <w:pStyle w:val="Default"/>
              <w:spacing w:before="60" w:after="60"/>
              <w:rPr>
                <w:rFonts w:asciiTheme="minorHAnsi" w:hAnsiTheme="minorHAnsi" w:cstheme="minorHAnsi"/>
                <w:sz w:val="20"/>
                <w:szCs w:val="20"/>
              </w:rPr>
            </w:pPr>
            <w:r w:rsidRPr="006C6CAB">
              <w:rPr>
                <w:rFonts w:asciiTheme="minorHAnsi" w:hAnsiTheme="minorHAnsi" w:cstheme="minorHAnsi"/>
                <w:sz w:val="20"/>
                <w:szCs w:val="20"/>
              </w:rPr>
              <w:t>Invite high potential niche-based tech companies to invest in Bergrivier</w:t>
            </w:r>
          </w:p>
        </w:tc>
        <w:tc>
          <w:tcPr>
            <w:tcW w:w="637" w:type="pct"/>
            <w:shd w:val="clear" w:color="auto" w:fill="C5E0B3" w:themeFill="accent6" w:themeFillTint="66"/>
            <w:vAlign w:val="center"/>
          </w:tcPr>
          <w:p w:rsidR="006C1283" w:rsidRPr="006C6CAB" w:rsidRDefault="006C1283" w:rsidP="00155FFB">
            <w:pPr>
              <w:spacing w:before="60" w:after="60"/>
              <w:rPr>
                <w:sz w:val="20"/>
                <w:szCs w:val="20"/>
              </w:rPr>
            </w:pPr>
          </w:p>
        </w:tc>
      </w:tr>
      <w:tr w:rsidR="006C1283" w:rsidTr="00BD2C21">
        <w:trPr>
          <w:trHeight w:val="567"/>
        </w:trPr>
        <w:tc>
          <w:tcPr>
            <w:tcW w:w="405" w:type="pct"/>
            <w:vMerge/>
            <w:shd w:val="clear" w:color="auto" w:fill="C5E0B3" w:themeFill="accent6" w:themeFillTint="66"/>
            <w:vAlign w:val="center"/>
          </w:tcPr>
          <w:p w:rsidR="006C1283" w:rsidRPr="006C6CAB" w:rsidRDefault="006C1283" w:rsidP="00155FFB">
            <w:pPr>
              <w:spacing w:before="60" w:after="60"/>
              <w:rPr>
                <w:sz w:val="20"/>
                <w:szCs w:val="20"/>
              </w:rPr>
            </w:pPr>
          </w:p>
        </w:tc>
        <w:tc>
          <w:tcPr>
            <w:tcW w:w="452" w:type="pct"/>
            <w:shd w:val="clear" w:color="auto" w:fill="C5E0B3" w:themeFill="accent6" w:themeFillTint="66"/>
            <w:vAlign w:val="center"/>
          </w:tcPr>
          <w:p w:rsidR="006C1283" w:rsidRPr="006C6CAB" w:rsidRDefault="006C1283" w:rsidP="00155FFB">
            <w:pPr>
              <w:spacing w:before="60" w:after="60"/>
              <w:rPr>
                <w:sz w:val="20"/>
                <w:szCs w:val="20"/>
              </w:rPr>
            </w:pPr>
          </w:p>
        </w:tc>
        <w:tc>
          <w:tcPr>
            <w:tcW w:w="3506" w:type="pct"/>
            <w:shd w:val="clear" w:color="auto" w:fill="C5E0B3" w:themeFill="accent6" w:themeFillTint="66"/>
            <w:vAlign w:val="center"/>
          </w:tcPr>
          <w:p w:rsidR="006C1283" w:rsidRPr="006C6CAB" w:rsidRDefault="006C1283"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Speed up roll-out of fibre installations and increased connectivity</w:t>
            </w:r>
          </w:p>
        </w:tc>
        <w:tc>
          <w:tcPr>
            <w:tcW w:w="637" w:type="pct"/>
            <w:shd w:val="clear" w:color="auto" w:fill="C5E0B3" w:themeFill="accent6" w:themeFillTint="66"/>
            <w:vAlign w:val="center"/>
          </w:tcPr>
          <w:p w:rsidR="006C1283" w:rsidRPr="006C6CAB" w:rsidRDefault="006C1283" w:rsidP="00155FFB">
            <w:pPr>
              <w:spacing w:before="60" w:after="60"/>
              <w:rPr>
                <w:sz w:val="20"/>
                <w:szCs w:val="20"/>
              </w:rPr>
            </w:pPr>
          </w:p>
        </w:tc>
      </w:tr>
      <w:tr w:rsidR="00D247FA" w:rsidTr="00BD2C21">
        <w:trPr>
          <w:trHeight w:val="567"/>
        </w:trPr>
        <w:tc>
          <w:tcPr>
            <w:tcW w:w="405" w:type="pct"/>
            <w:vMerge w:val="restart"/>
            <w:shd w:val="clear" w:color="auto" w:fill="FFE599" w:themeFill="accent4" w:themeFillTint="66"/>
            <w:vAlign w:val="center"/>
          </w:tcPr>
          <w:p w:rsidR="00D247FA" w:rsidRPr="006C6CAB" w:rsidRDefault="00D247FA" w:rsidP="00155FFB">
            <w:pPr>
              <w:spacing w:before="60" w:after="60"/>
              <w:rPr>
                <w:sz w:val="20"/>
                <w:szCs w:val="20"/>
              </w:rPr>
            </w:pPr>
            <w:r w:rsidRPr="006C6CAB">
              <w:rPr>
                <w:sz w:val="20"/>
                <w:szCs w:val="20"/>
              </w:rPr>
              <w:t>Social Relief</w:t>
            </w:r>
          </w:p>
        </w:tc>
        <w:tc>
          <w:tcPr>
            <w:tcW w:w="452" w:type="pct"/>
            <w:shd w:val="clear" w:color="auto" w:fill="FFE599" w:themeFill="accent4" w:themeFillTint="66"/>
            <w:vAlign w:val="center"/>
          </w:tcPr>
          <w:p w:rsidR="00D247FA" w:rsidRPr="006C6CAB" w:rsidRDefault="00D247FA" w:rsidP="00155FFB">
            <w:pPr>
              <w:spacing w:before="60" w:after="60"/>
              <w:rPr>
                <w:sz w:val="20"/>
                <w:szCs w:val="20"/>
              </w:rPr>
            </w:pPr>
            <w:r w:rsidRPr="006C6CAB">
              <w:rPr>
                <w:sz w:val="20"/>
                <w:szCs w:val="20"/>
              </w:rPr>
              <w:t>Feeding schemes</w:t>
            </w:r>
          </w:p>
        </w:tc>
        <w:tc>
          <w:tcPr>
            <w:tcW w:w="3506" w:type="pct"/>
            <w:shd w:val="clear" w:color="auto" w:fill="FFE599" w:themeFill="accent4" w:themeFillTint="66"/>
            <w:vAlign w:val="center"/>
          </w:tcPr>
          <w:p w:rsidR="00D247FA" w:rsidRPr="006C6CAB" w:rsidRDefault="00D247FA" w:rsidP="00155FFB">
            <w:pPr>
              <w:pStyle w:val="Default"/>
              <w:spacing w:before="60" w:after="60"/>
              <w:rPr>
                <w:rFonts w:asciiTheme="minorHAnsi" w:hAnsiTheme="minorHAnsi" w:cstheme="minorHAnsi"/>
                <w:sz w:val="20"/>
                <w:szCs w:val="20"/>
              </w:rPr>
            </w:pPr>
            <w:r w:rsidRPr="006C6CAB">
              <w:rPr>
                <w:rFonts w:asciiTheme="minorHAnsi" w:hAnsiTheme="minorHAnsi" w:cstheme="minorHAnsi"/>
                <w:sz w:val="20"/>
                <w:szCs w:val="20"/>
              </w:rPr>
              <w:t>Ensure food security through feeding schemes</w:t>
            </w:r>
          </w:p>
        </w:tc>
        <w:tc>
          <w:tcPr>
            <w:tcW w:w="637" w:type="pct"/>
            <w:shd w:val="clear" w:color="auto" w:fill="FFE599" w:themeFill="accent4" w:themeFillTint="66"/>
            <w:vAlign w:val="center"/>
          </w:tcPr>
          <w:p w:rsidR="00D247FA" w:rsidRPr="006C6CAB" w:rsidRDefault="00D247FA" w:rsidP="00155FFB">
            <w:pPr>
              <w:spacing w:before="60" w:after="60"/>
              <w:rPr>
                <w:sz w:val="20"/>
                <w:szCs w:val="20"/>
              </w:rPr>
            </w:pPr>
            <w:r>
              <w:rPr>
                <w:sz w:val="20"/>
                <w:szCs w:val="20"/>
              </w:rPr>
              <w:t>NGO’s</w:t>
            </w:r>
          </w:p>
        </w:tc>
      </w:tr>
      <w:tr w:rsidR="00D247FA" w:rsidTr="00BD2C21">
        <w:trPr>
          <w:trHeight w:val="567"/>
        </w:trPr>
        <w:tc>
          <w:tcPr>
            <w:tcW w:w="405" w:type="pct"/>
            <w:vMerge/>
            <w:shd w:val="clear" w:color="auto" w:fill="FFE599" w:themeFill="accent4" w:themeFillTint="66"/>
            <w:vAlign w:val="center"/>
          </w:tcPr>
          <w:p w:rsidR="00D247FA" w:rsidRPr="006C6CAB" w:rsidRDefault="00D247FA" w:rsidP="00155FFB">
            <w:pPr>
              <w:spacing w:before="60" w:after="60"/>
              <w:rPr>
                <w:sz w:val="20"/>
                <w:szCs w:val="20"/>
              </w:rPr>
            </w:pPr>
          </w:p>
        </w:tc>
        <w:tc>
          <w:tcPr>
            <w:tcW w:w="452" w:type="pct"/>
            <w:shd w:val="clear" w:color="auto" w:fill="FFE599" w:themeFill="accent4" w:themeFillTint="66"/>
            <w:vAlign w:val="center"/>
          </w:tcPr>
          <w:p w:rsidR="00D247FA" w:rsidRPr="006C6CAB" w:rsidRDefault="00D247FA" w:rsidP="00155FFB">
            <w:pPr>
              <w:spacing w:before="60" w:after="60"/>
              <w:rPr>
                <w:sz w:val="20"/>
                <w:szCs w:val="20"/>
              </w:rPr>
            </w:pPr>
            <w:r>
              <w:rPr>
                <w:sz w:val="20"/>
                <w:szCs w:val="20"/>
              </w:rPr>
              <w:t>Food gardens</w:t>
            </w:r>
          </w:p>
        </w:tc>
        <w:tc>
          <w:tcPr>
            <w:tcW w:w="3506" w:type="pct"/>
            <w:shd w:val="clear" w:color="auto" w:fill="FFE599" w:themeFill="accent4" w:themeFillTint="66"/>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Ensure more food gardens to families to ensure their own food security</w:t>
            </w:r>
          </w:p>
        </w:tc>
        <w:tc>
          <w:tcPr>
            <w:tcW w:w="637" w:type="pct"/>
            <w:shd w:val="clear" w:color="auto" w:fill="FFE599" w:themeFill="accent4" w:themeFillTint="66"/>
            <w:vAlign w:val="center"/>
          </w:tcPr>
          <w:p w:rsidR="00D247FA" w:rsidRPr="006C6CAB" w:rsidRDefault="00D247FA" w:rsidP="00155FFB">
            <w:pPr>
              <w:spacing w:before="60" w:after="60"/>
              <w:rPr>
                <w:sz w:val="20"/>
                <w:szCs w:val="20"/>
              </w:rPr>
            </w:pPr>
            <w:r>
              <w:rPr>
                <w:sz w:val="20"/>
                <w:szCs w:val="20"/>
              </w:rPr>
              <w:t>Strategic services</w:t>
            </w:r>
          </w:p>
        </w:tc>
      </w:tr>
      <w:tr w:rsidR="00D247FA" w:rsidTr="00BD2C21">
        <w:trPr>
          <w:trHeight w:val="567"/>
        </w:trPr>
        <w:tc>
          <w:tcPr>
            <w:tcW w:w="405" w:type="pct"/>
            <w:vMerge w:val="restart"/>
            <w:shd w:val="clear" w:color="auto" w:fill="FBE4D5" w:themeFill="accent2" w:themeFillTint="33"/>
            <w:vAlign w:val="center"/>
          </w:tcPr>
          <w:p w:rsidR="00D247FA" w:rsidRPr="006C6CAB" w:rsidRDefault="00D247FA" w:rsidP="00155FFB">
            <w:pPr>
              <w:spacing w:before="60" w:after="60"/>
              <w:rPr>
                <w:sz w:val="20"/>
                <w:szCs w:val="20"/>
              </w:rPr>
            </w:pPr>
            <w:r>
              <w:rPr>
                <w:sz w:val="20"/>
                <w:szCs w:val="20"/>
              </w:rPr>
              <w:t>Safety and Security</w:t>
            </w:r>
          </w:p>
        </w:tc>
        <w:tc>
          <w:tcPr>
            <w:tcW w:w="452" w:type="pct"/>
            <w:shd w:val="clear" w:color="auto" w:fill="FBE4D5" w:themeFill="accent2" w:themeFillTint="33"/>
            <w:vAlign w:val="center"/>
          </w:tcPr>
          <w:p w:rsidR="00D247FA" w:rsidRPr="006C6CAB" w:rsidRDefault="00D247FA" w:rsidP="00155FFB">
            <w:pPr>
              <w:spacing w:before="60" w:after="60"/>
              <w:rPr>
                <w:sz w:val="20"/>
                <w:szCs w:val="20"/>
              </w:rPr>
            </w:pPr>
          </w:p>
        </w:tc>
        <w:tc>
          <w:tcPr>
            <w:tcW w:w="3506" w:type="pct"/>
            <w:shd w:val="clear" w:color="auto" w:fill="FBE4D5" w:themeFill="accent2" w:themeFillTint="33"/>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Ensure the activation of all neighbourhood watches to ensure that crime is limited</w:t>
            </w:r>
          </w:p>
        </w:tc>
        <w:tc>
          <w:tcPr>
            <w:tcW w:w="637" w:type="pct"/>
            <w:shd w:val="clear" w:color="auto" w:fill="FBE4D5" w:themeFill="accent2" w:themeFillTint="33"/>
            <w:vAlign w:val="center"/>
          </w:tcPr>
          <w:p w:rsidR="00D247FA" w:rsidRPr="006C6CAB" w:rsidRDefault="00D247FA" w:rsidP="00155FFB">
            <w:pPr>
              <w:spacing w:before="60" w:after="60"/>
              <w:rPr>
                <w:sz w:val="20"/>
                <w:szCs w:val="20"/>
              </w:rPr>
            </w:pPr>
          </w:p>
        </w:tc>
      </w:tr>
      <w:tr w:rsidR="00D247FA" w:rsidTr="00BD2C21">
        <w:trPr>
          <w:trHeight w:val="567"/>
        </w:trPr>
        <w:tc>
          <w:tcPr>
            <w:tcW w:w="405" w:type="pct"/>
            <w:vMerge/>
            <w:shd w:val="clear" w:color="auto" w:fill="FBE4D5" w:themeFill="accent2" w:themeFillTint="33"/>
            <w:vAlign w:val="center"/>
          </w:tcPr>
          <w:p w:rsidR="00D247FA" w:rsidRDefault="00D247FA" w:rsidP="00155FFB">
            <w:pPr>
              <w:spacing w:before="60" w:after="60"/>
              <w:rPr>
                <w:sz w:val="20"/>
                <w:szCs w:val="20"/>
              </w:rPr>
            </w:pPr>
          </w:p>
        </w:tc>
        <w:tc>
          <w:tcPr>
            <w:tcW w:w="452" w:type="pct"/>
            <w:shd w:val="clear" w:color="auto" w:fill="FBE4D5" w:themeFill="accent2" w:themeFillTint="33"/>
            <w:vAlign w:val="center"/>
          </w:tcPr>
          <w:p w:rsidR="00D247FA" w:rsidRPr="006C6CAB" w:rsidRDefault="00D247FA" w:rsidP="00155FFB">
            <w:pPr>
              <w:spacing w:before="60" w:after="60"/>
              <w:rPr>
                <w:sz w:val="20"/>
                <w:szCs w:val="20"/>
              </w:rPr>
            </w:pPr>
          </w:p>
        </w:tc>
        <w:tc>
          <w:tcPr>
            <w:tcW w:w="3506" w:type="pct"/>
            <w:shd w:val="clear" w:color="auto" w:fill="FBE4D5" w:themeFill="accent2" w:themeFillTint="33"/>
            <w:vAlign w:val="center"/>
          </w:tcPr>
          <w:p w:rsidR="00D247FA"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Drive an anti-drug campaign to ensure that inhabitants don’t fall victim to drug abuse</w:t>
            </w:r>
          </w:p>
        </w:tc>
        <w:tc>
          <w:tcPr>
            <w:tcW w:w="637" w:type="pct"/>
            <w:shd w:val="clear" w:color="auto" w:fill="FBE4D5" w:themeFill="accent2" w:themeFillTint="33"/>
            <w:vAlign w:val="center"/>
          </w:tcPr>
          <w:p w:rsidR="00D247FA" w:rsidRPr="006C6CAB" w:rsidRDefault="00D247FA" w:rsidP="00155FFB">
            <w:pPr>
              <w:spacing w:before="60" w:after="60"/>
              <w:rPr>
                <w:sz w:val="20"/>
                <w:szCs w:val="20"/>
              </w:rPr>
            </w:pPr>
            <w:r>
              <w:rPr>
                <w:sz w:val="20"/>
                <w:szCs w:val="20"/>
              </w:rPr>
              <w:t>Strategic Services</w:t>
            </w:r>
          </w:p>
        </w:tc>
      </w:tr>
      <w:tr w:rsidR="00D247FA" w:rsidTr="00BD2C21">
        <w:trPr>
          <w:trHeight w:val="567"/>
        </w:trPr>
        <w:tc>
          <w:tcPr>
            <w:tcW w:w="405" w:type="pct"/>
            <w:shd w:val="clear" w:color="auto" w:fill="D9D9D9" w:themeFill="background1" w:themeFillShade="D9"/>
            <w:vAlign w:val="center"/>
          </w:tcPr>
          <w:p w:rsidR="00D247FA" w:rsidRDefault="00D247FA" w:rsidP="00155FFB">
            <w:pPr>
              <w:spacing w:before="60" w:after="60"/>
              <w:rPr>
                <w:sz w:val="20"/>
                <w:szCs w:val="20"/>
              </w:rPr>
            </w:pPr>
            <w:r>
              <w:rPr>
                <w:sz w:val="20"/>
                <w:szCs w:val="20"/>
              </w:rPr>
              <w:t>Investment</w:t>
            </w:r>
          </w:p>
        </w:tc>
        <w:tc>
          <w:tcPr>
            <w:tcW w:w="452" w:type="pct"/>
            <w:shd w:val="clear" w:color="auto" w:fill="D9D9D9" w:themeFill="background1" w:themeFillShade="D9"/>
            <w:vAlign w:val="center"/>
          </w:tcPr>
          <w:p w:rsidR="00D247FA" w:rsidRPr="006C6CAB" w:rsidRDefault="00D247FA" w:rsidP="00155FFB">
            <w:pPr>
              <w:spacing w:before="60" w:after="60"/>
              <w:rPr>
                <w:sz w:val="20"/>
                <w:szCs w:val="20"/>
              </w:rPr>
            </w:pPr>
          </w:p>
        </w:tc>
        <w:tc>
          <w:tcPr>
            <w:tcW w:w="3506" w:type="pct"/>
            <w:shd w:val="clear" w:color="auto" w:fill="D9D9D9" w:themeFill="background1" w:themeFillShade="D9"/>
            <w:vAlign w:val="center"/>
          </w:tcPr>
          <w:p w:rsidR="00D247FA" w:rsidRPr="006C6CAB"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Market Bergrivier as an investment friendly area</w:t>
            </w:r>
          </w:p>
        </w:tc>
        <w:tc>
          <w:tcPr>
            <w:tcW w:w="637" w:type="pct"/>
            <w:shd w:val="clear" w:color="auto" w:fill="D9D9D9" w:themeFill="background1" w:themeFillShade="D9"/>
            <w:vAlign w:val="center"/>
          </w:tcPr>
          <w:p w:rsidR="00D247FA" w:rsidRPr="006C6CAB" w:rsidRDefault="00D247FA" w:rsidP="00155FFB">
            <w:pPr>
              <w:spacing w:before="60" w:after="60"/>
              <w:rPr>
                <w:sz w:val="20"/>
                <w:szCs w:val="20"/>
              </w:rPr>
            </w:pPr>
          </w:p>
        </w:tc>
      </w:tr>
      <w:tr w:rsidR="00D247FA" w:rsidTr="00BD2C21">
        <w:trPr>
          <w:trHeight w:val="567"/>
        </w:trPr>
        <w:tc>
          <w:tcPr>
            <w:tcW w:w="405" w:type="pct"/>
            <w:shd w:val="clear" w:color="auto" w:fill="9CC2E5" w:themeFill="accent1" w:themeFillTint="99"/>
            <w:vAlign w:val="center"/>
          </w:tcPr>
          <w:p w:rsidR="00D247FA" w:rsidRDefault="00D247FA" w:rsidP="00155FFB">
            <w:pPr>
              <w:spacing w:before="60" w:after="60"/>
              <w:rPr>
                <w:sz w:val="20"/>
                <w:szCs w:val="20"/>
              </w:rPr>
            </w:pPr>
            <w:r>
              <w:rPr>
                <w:sz w:val="20"/>
                <w:szCs w:val="20"/>
              </w:rPr>
              <w:t>Other government services</w:t>
            </w:r>
          </w:p>
        </w:tc>
        <w:tc>
          <w:tcPr>
            <w:tcW w:w="452" w:type="pct"/>
            <w:shd w:val="clear" w:color="auto" w:fill="9CC2E5" w:themeFill="accent1" w:themeFillTint="99"/>
            <w:vAlign w:val="center"/>
          </w:tcPr>
          <w:p w:rsidR="00D247FA" w:rsidRPr="006C6CAB" w:rsidRDefault="00D247FA" w:rsidP="00155FFB">
            <w:pPr>
              <w:spacing w:before="60" w:after="60"/>
              <w:rPr>
                <w:sz w:val="20"/>
                <w:szCs w:val="20"/>
              </w:rPr>
            </w:pPr>
            <w:r>
              <w:rPr>
                <w:sz w:val="20"/>
                <w:szCs w:val="20"/>
              </w:rPr>
              <w:t>UIF</w:t>
            </w:r>
          </w:p>
        </w:tc>
        <w:tc>
          <w:tcPr>
            <w:tcW w:w="3506" w:type="pct"/>
            <w:shd w:val="clear" w:color="auto" w:fill="9CC2E5" w:themeFill="accent1" w:themeFillTint="99"/>
            <w:vAlign w:val="center"/>
          </w:tcPr>
          <w:p w:rsidR="00D247FA" w:rsidRDefault="00D247FA" w:rsidP="00155FFB">
            <w:pPr>
              <w:pStyle w:val="Default"/>
              <w:spacing w:before="60" w:after="60"/>
              <w:rPr>
                <w:rFonts w:asciiTheme="minorHAnsi" w:hAnsiTheme="minorHAnsi" w:cstheme="minorHAnsi"/>
                <w:sz w:val="20"/>
                <w:szCs w:val="20"/>
              </w:rPr>
            </w:pPr>
            <w:r>
              <w:rPr>
                <w:rFonts w:asciiTheme="minorHAnsi" w:hAnsiTheme="minorHAnsi" w:cstheme="minorHAnsi"/>
                <w:sz w:val="20"/>
                <w:szCs w:val="20"/>
              </w:rPr>
              <w:t>Assist applications for the UIF Temporary Employee Benefits</w:t>
            </w:r>
          </w:p>
        </w:tc>
        <w:tc>
          <w:tcPr>
            <w:tcW w:w="637" w:type="pct"/>
            <w:shd w:val="clear" w:color="auto" w:fill="9CC2E5" w:themeFill="accent1" w:themeFillTint="99"/>
            <w:vAlign w:val="center"/>
          </w:tcPr>
          <w:p w:rsidR="00D247FA" w:rsidRPr="006C6CAB" w:rsidRDefault="00D247FA" w:rsidP="00155FFB">
            <w:pPr>
              <w:spacing w:before="60" w:after="60"/>
              <w:rPr>
                <w:sz w:val="20"/>
                <w:szCs w:val="20"/>
              </w:rPr>
            </w:pPr>
          </w:p>
        </w:tc>
      </w:tr>
    </w:tbl>
    <w:p w:rsidR="00982DD4" w:rsidRDefault="00982DD4"/>
    <w:p w:rsidR="00B662EF" w:rsidRDefault="00B662EF">
      <w:pPr>
        <w:sectPr w:rsidR="00B662EF" w:rsidSect="00155FFB">
          <w:pgSz w:w="16838" w:h="11906" w:orient="landscape"/>
          <w:pgMar w:top="340" w:right="567" w:bottom="340" w:left="567" w:header="510" w:footer="510" w:gutter="0"/>
          <w:cols w:space="708"/>
          <w:docGrid w:linePitch="360"/>
        </w:sectPr>
      </w:pPr>
    </w:p>
    <w:p w:rsidR="00E6469D" w:rsidRDefault="00321EA5" w:rsidP="008903D3">
      <w:pPr>
        <w:pStyle w:val="Heading2"/>
      </w:pPr>
      <w:bookmarkStart w:id="13" w:name="_Toc46991984"/>
      <w:r>
        <w:lastRenderedPageBreak/>
        <w:t>4.3</w:t>
      </w:r>
      <w:r>
        <w:tab/>
      </w:r>
      <w:r w:rsidR="00525CE7">
        <w:t>Current funding options for businesses</w:t>
      </w:r>
      <w:bookmarkEnd w:id="13"/>
    </w:p>
    <w:p w:rsidR="00B662EF" w:rsidRPr="008903D3" w:rsidRDefault="00B662EF" w:rsidP="008903D3">
      <w:pPr>
        <w:pStyle w:val="ListParagraph"/>
        <w:spacing w:before="120" w:after="120" w:line="360" w:lineRule="auto"/>
        <w:ind w:left="0"/>
        <w:contextualSpacing w:val="0"/>
        <w:jc w:val="both"/>
      </w:pPr>
      <w:r w:rsidRPr="008903D3">
        <w:t>There are a number of economic relief measures during Covid-19 which can assist in immediate relief, these measures are listed below and attached as Annexure B for more detail information:</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Debt relief finance scheme (Small Business Development Interventions)</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Restructuring of SEDA-Funded Loans (Small Business Development Interventions)</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Business growth/resilience facility (Small Business Development Interventions)</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Spaza Support Scheme (Small Business Development Interventions)</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COVID-19 Agricultural disaster support fund (Agriculture and Land Reform)</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Tourism relief fund (Tourism Sector Interventions)</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Tax measures (National Treasury)</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Loans (National Treasury)</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UIF Covid-19 relief benefit</w:t>
      </w:r>
    </w:p>
    <w:p w:rsidR="00B662EF" w:rsidRPr="008903D3" w:rsidRDefault="00B662EF" w:rsidP="008903D3">
      <w:pPr>
        <w:pStyle w:val="ListParagraph"/>
        <w:numPr>
          <w:ilvl w:val="0"/>
          <w:numId w:val="21"/>
        </w:numPr>
        <w:tabs>
          <w:tab w:val="clear" w:pos="720"/>
        </w:tabs>
        <w:spacing w:before="120" w:after="120" w:line="360" w:lineRule="auto"/>
        <w:ind w:left="340" w:hanging="227"/>
        <w:contextualSpacing w:val="0"/>
        <w:jc w:val="both"/>
        <w:rPr>
          <w:rFonts w:eastAsia="Century Gothic" w:cs="Century Gothic"/>
        </w:rPr>
      </w:pPr>
      <w:r w:rsidRPr="008903D3">
        <w:rPr>
          <w:rFonts w:eastAsia="Century Gothic" w:cs="Century Gothic"/>
        </w:rPr>
        <w:t>Social Relief Grant (SASSA)</w:t>
      </w:r>
    </w:p>
    <w:p w:rsidR="009425F1" w:rsidRDefault="009425F1">
      <w:r>
        <w:br w:type="page"/>
      </w:r>
    </w:p>
    <w:p w:rsidR="009425F1" w:rsidRPr="009425F1" w:rsidRDefault="009425F1" w:rsidP="009425F1">
      <w:pPr>
        <w:jc w:val="center"/>
        <w:rPr>
          <w:b/>
          <w:sz w:val="24"/>
        </w:rPr>
      </w:pPr>
      <w:r w:rsidRPr="009425F1">
        <w:rPr>
          <w:b/>
          <w:sz w:val="24"/>
        </w:rPr>
        <w:lastRenderedPageBreak/>
        <w:t>BERGRIVIER MUNICIPALITY – COVID -19 SURVEY</w:t>
      </w:r>
    </w:p>
    <w:p w:rsidR="009425F1" w:rsidRPr="009425F1" w:rsidRDefault="009425F1" w:rsidP="009425F1">
      <w:pPr>
        <w:jc w:val="center"/>
        <w:rPr>
          <w:b/>
          <w:sz w:val="24"/>
        </w:rPr>
      </w:pPr>
      <w:r w:rsidRPr="009425F1">
        <w:rPr>
          <w:b/>
          <w:sz w:val="24"/>
        </w:rPr>
        <w:t>INDUSTRY SECTORS</w:t>
      </w:r>
    </w:p>
    <w:p w:rsidR="009425F1" w:rsidRPr="003F1850" w:rsidRDefault="009425F1" w:rsidP="009425F1">
      <w:pPr>
        <w:pStyle w:val="Default"/>
        <w:rPr>
          <w:rFonts w:ascii="Calibri" w:hAnsi="Calibri" w:cs="Calibri"/>
        </w:rPr>
      </w:pPr>
    </w:p>
    <w:p w:rsidR="009425F1" w:rsidRPr="003F1850" w:rsidRDefault="009425F1" w:rsidP="009425F1">
      <w:pPr>
        <w:pStyle w:val="Default"/>
        <w:rPr>
          <w:rFonts w:ascii="Calibri" w:hAnsi="Calibri" w:cs="Calibri"/>
          <w:b/>
          <w:sz w:val="28"/>
        </w:rPr>
      </w:pPr>
      <w:r w:rsidRPr="003F1850">
        <w:rPr>
          <w:rFonts w:ascii="Calibri" w:hAnsi="Calibri" w:cs="Calibri"/>
          <w:b/>
          <w:sz w:val="28"/>
        </w:rPr>
        <w:t>Please indicate/complete by filling in the letter.</w:t>
      </w:r>
    </w:p>
    <w:p w:rsidR="009425F1" w:rsidRPr="003F1850" w:rsidRDefault="009425F1" w:rsidP="009425F1">
      <w:pPr>
        <w:pStyle w:val="Defaul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1"/>
        <w:gridCol w:w="3701"/>
      </w:tblGrid>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INDUSTRIAL MANUFACTURING</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Engines and parts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Servicing of engines and motors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Industrial equipment</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Servicing and refurbishing</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Fuel, lubricants and detergents</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CONSTRUCTION ENGINEERING AND ARCHITECTURE</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Architecture and design</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Construction</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Building and construction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Building and construction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Engineering and related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Electronic products and systems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MANUFACTURERS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Chemical</w:t>
            </w:r>
          </w:p>
          <w:p w:rsidR="009425F1" w:rsidRPr="003F1850" w:rsidRDefault="009425F1" w:rsidP="009425F1">
            <w:pPr>
              <w:numPr>
                <w:ilvl w:val="1"/>
                <w:numId w:val="24"/>
              </w:numPr>
              <w:tabs>
                <w:tab w:val="clear" w:pos="1440"/>
                <w:tab w:val="num" w:pos="1080"/>
              </w:tabs>
              <w:spacing w:after="0" w:line="240" w:lineRule="auto"/>
              <w:ind w:left="1080" w:right="-94"/>
              <w:rPr>
                <w:rFonts w:ascii="Calibri" w:hAnsi="Calibri" w:cs="Calibri"/>
                <w:sz w:val="20"/>
              </w:rPr>
            </w:pPr>
            <w:r w:rsidRPr="003F1850">
              <w:rPr>
                <w:rFonts w:ascii="Calibri" w:hAnsi="Calibri" w:cs="Calibri"/>
                <w:sz w:val="20"/>
                <w:szCs w:val="16"/>
              </w:rPr>
              <w:t xml:space="preserve">Electrical appliances and equipment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Hand and machine tools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Plastic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Automotive, aviation, marine and rail products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Furniture and fittings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Glass products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Cleaning equipment</w:t>
            </w:r>
          </w:p>
          <w:p w:rsidR="009425F1" w:rsidRPr="003F1850" w:rsidRDefault="009425F1" w:rsidP="009425F1">
            <w:pPr>
              <w:numPr>
                <w:ilvl w:val="1"/>
                <w:numId w:val="24"/>
              </w:numPr>
              <w:tabs>
                <w:tab w:val="clear" w:pos="1440"/>
                <w:tab w:val="num" w:pos="1080"/>
              </w:tabs>
              <w:spacing w:after="0" w:line="240" w:lineRule="auto"/>
              <w:ind w:left="1080" w:right="-94"/>
              <w:rPr>
                <w:rFonts w:ascii="Calibri" w:hAnsi="Calibri" w:cs="Calibri"/>
                <w:sz w:val="20"/>
              </w:rPr>
            </w:pPr>
            <w:r w:rsidRPr="003F1850">
              <w:rPr>
                <w:rFonts w:ascii="Calibri" w:hAnsi="Calibri" w:cs="Calibri"/>
                <w:sz w:val="20"/>
                <w:szCs w:val="16"/>
              </w:rPr>
              <w:t>Board, paper and stationery products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Packaging products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Safety and security products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Pool and garden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Household appliances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Fabrics and textiles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Clothing and footwear</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Household consumer products</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ight="-236"/>
              <w:rPr>
                <w:rFonts w:ascii="Calibri" w:hAnsi="Calibri" w:cs="Calibri"/>
                <w:b/>
                <w:bCs/>
                <w:sz w:val="20"/>
              </w:rPr>
            </w:pPr>
            <w:r w:rsidRPr="003F1850">
              <w:rPr>
                <w:rFonts w:ascii="Calibri" w:hAnsi="Calibri" w:cs="Calibri"/>
                <w:b/>
                <w:bCs/>
                <w:sz w:val="20"/>
              </w:rPr>
              <w:t>CRAFTS AND HOME INDUSTRIES</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MINING AND BENEFICIATION</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Mining - metals and jewellery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Mining - other resources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Mining equipment and services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Jewellery manufacture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Jewellery retail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AGRICULTURE</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Dairy produce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Livestock farming and processing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Viticulture and wineries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Agricultural equipment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Agricultural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General farming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Marine and aqua-culture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Agricultural products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FOOD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Wholesale food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Retail food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Beverage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Snack products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lastRenderedPageBreak/>
              <w:t xml:space="preserve">HEALTHCARE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Over the counter health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Scheduled pharmaceuticals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Health and lifestyle services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Medical and hospital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Medical and hospital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Veterinary products and services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EDUCATION, DEVELOPMENT AND TRAINING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Pre-primary, primary and secondary schools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Private colleges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Tertiary institutions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Educational services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Educational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Educational projects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Other education organisations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b/>
                <w:bCs/>
                <w:sz w:val="20"/>
              </w:rPr>
            </w:pPr>
            <w:r w:rsidRPr="003F1850">
              <w:rPr>
                <w:rFonts w:ascii="Calibri" w:hAnsi="Calibri" w:cs="Calibri"/>
                <w:b/>
                <w:bCs/>
                <w:sz w:val="20"/>
              </w:rPr>
              <w:t>COMMUNITY ORGANISATIONS AND PROJECTS</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lang w:val="fr-FR"/>
              </w:rPr>
            </w:pPr>
            <w:r w:rsidRPr="003F1850">
              <w:rPr>
                <w:rFonts w:ascii="Calibri" w:hAnsi="Calibri" w:cs="Calibri"/>
                <w:b/>
                <w:bCs/>
                <w:sz w:val="20"/>
                <w:szCs w:val="16"/>
                <w:lang w:val="fr-FR"/>
              </w:rPr>
              <w:t xml:space="preserve">REPRESENTATIVE ORGANISATIONS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lang w:val="fr-FR"/>
              </w:rPr>
            </w:pPr>
            <w:r w:rsidRPr="003F1850">
              <w:rPr>
                <w:rFonts w:ascii="Calibri" w:hAnsi="Calibri" w:cs="Calibri"/>
                <w:sz w:val="20"/>
                <w:szCs w:val="16"/>
              </w:rPr>
              <w:t>Trade</w:t>
            </w:r>
            <w:r w:rsidRPr="003F1850">
              <w:rPr>
                <w:rFonts w:ascii="Calibri" w:hAnsi="Calibri" w:cs="Calibri"/>
                <w:sz w:val="20"/>
                <w:szCs w:val="16"/>
                <w:lang w:val="fr-FR"/>
              </w:rPr>
              <w:t xml:space="preserve"> unions</w:t>
            </w:r>
          </w:p>
          <w:p w:rsidR="009425F1" w:rsidRPr="003F1850" w:rsidRDefault="009425F1" w:rsidP="009425F1">
            <w:pPr>
              <w:numPr>
                <w:ilvl w:val="1"/>
                <w:numId w:val="24"/>
              </w:numPr>
              <w:tabs>
                <w:tab w:val="clear" w:pos="1440"/>
                <w:tab w:val="num" w:pos="1080"/>
              </w:tabs>
              <w:spacing w:after="0" w:line="240" w:lineRule="auto"/>
              <w:ind w:left="1080" w:right="-236"/>
              <w:rPr>
                <w:rFonts w:ascii="Calibri" w:hAnsi="Calibri" w:cs="Calibri"/>
                <w:sz w:val="20"/>
              </w:rPr>
            </w:pPr>
            <w:r w:rsidRPr="003F1850">
              <w:rPr>
                <w:rFonts w:ascii="Calibri" w:hAnsi="Calibri" w:cs="Calibri"/>
                <w:sz w:val="20"/>
                <w:szCs w:val="16"/>
              </w:rPr>
              <w:t>Professional bodies and associations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Industry associations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PROFESSIONAL SERVICES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Training services </w:t>
            </w:r>
          </w:p>
          <w:p w:rsidR="009425F1" w:rsidRPr="003F1850" w:rsidRDefault="009425F1" w:rsidP="009425F1">
            <w:pPr>
              <w:numPr>
                <w:ilvl w:val="1"/>
                <w:numId w:val="24"/>
              </w:numPr>
              <w:tabs>
                <w:tab w:val="clear" w:pos="1440"/>
                <w:tab w:val="num" w:pos="1080"/>
              </w:tabs>
              <w:spacing w:after="0" w:line="240" w:lineRule="auto"/>
              <w:ind w:left="1080" w:right="-236"/>
              <w:rPr>
                <w:rFonts w:ascii="Calibri" w:hAnsi="Calibri" w:cs="Calibri"/>
                <w:sz w:val="20"/>
              </w:rPr>
            </w:pPr>
            <w:r w:rsidRPr="003F1850">
              <w:rPr>
                <w:rFonts w:ascii="Calibri" w:hAnsi="Calibri" w:cs="Calibri"/>
                <w:sz w:val="20"/>
                <w:szCs w:val="16"/>
              </w:rPr>
              <w:t xml:space="preserve">Management and consulting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Personnel and related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Legal and related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Other services</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GOVERNMENT</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National government body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Provincial government body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Local government body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Statutory body</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Government project</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FINANCIAL SERVICES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Short term and life assurance</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Accounting and auditing </w:t>
            </w:r>
          </w:p>
          <w:p w:rsidR="009425F1" w:rsidRPr="003F1850" w:rsidRDefault="009425F1" w:rsidP="009425F1">
            <w:pPr>
              <w:numPr>
                <w:ilvl w:val="1"/>
                <w:numId w:val="24"/>
              </w:numPr>
              <w:tabs>
                <w:tab w:val="clear" w:pos="1440"/>
                <w:tab w:val="num" w:pos="1080"/>
              </w:tabs>
              <w:spacing w:after="0" w:line="240" w:lineRule="auto"/>
              <w:ind w:left="1080" w:right="-94"/>
              <w:rPr>
                <w:rFonts w:ascii="Calibri" w:hAnsi="Calibri" w:cs="Calibri"/>
                <w:sz w:val="20"/>
              </w:rPr>
            </w:pPr>
            <w:r w:rsidRPr="003F1850">
              <w:rPr>
                <w:rFonts w:ascii="Calibri" w:hAnsi="Calibri" w:cs="Calibri"/>
                <w:sz w:val="20"/>
                <w:szCs w:val="16"/>
              </w:rPr>
              <w:t xml:space="preserve">Banking, securities and investments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Professional and financial services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INFORMATION TECHNOLOGY AND TELECOMMUNICATION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IT hardware</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IT software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General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Internet and web products and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IT solution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Telecommunication services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ight="-236"/>
              <w:rPr>
                <w:rFonts w:ascii="Calibri" w:hAnsi="Calibri" w:cs="Calibri"/>
                <w:sz w:val="20"/>
              </w:rPr>
            </w:pPr>
            <w:r w:rsidRPr="003F1850">
              <w:rPr>
                <w:rFonts w:ascii="Calibri" w:hAnsi="Calibri" w:cs="Calibri"/>
                <w:b/>
                <w:bCs/>
                <w:sz w:val="20"/>
                <w:szCs w:val="16"/>
              </w:rPr>
              <w:t>WHOLESALE AND RETAIL TRADE</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National general retail chains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Specialist chains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Independent retailers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Restaurant chains and outlets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Distribution agents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ight="-236"/>
              <w:rPr>
                <w:rFonts w:ascii="Calibri" w:hAnsi="Calibri" w:cs="Calibri"/>
                <w:sz w:val="20"/>
              </w:rPr>
            </w:pPr>
            <w:r w:rsidRPr="003F1850">
              <w:rPr>
                <w:rFonts w:ascii="Calibri" w:hAnsi="Calibri" w:cs="Calibri"/>
                <w:b/>
                <w:bCs/>
                <w:sz w:val="20"/>
                <w:szCs w:val="16"/>
              </w:rPr>
              <w:t xml:space="preserve">PROPERTY AND REAL ESTATE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Estate agents</w:t>
            </w:r>
          </w:p>
          <w:p w:rsidR="009425F1" w:rsidRPr="003F1850" w:rsidRDefault="009425F1" w:rsidP="009425F1">
            <w:pPr>
              <w:numPr>
                <w:ilvl w:val="1"/>
                <w:numId w:val="24"/>
              </w:numPr>
              <w:tabs>
                <w:tab w:val="clear" w:pos="1440"/>
                <w:tab w:val="num" w:pos="1080"/>
              </w:tabs>
              <w:spacing w:after="0" w:line="240" w:lineRule="auto"/>
              <w:ind w:left="1080" w:right="-94"/>
              <w:rPr>
                <w:rFonts w:ascii="Calibri" w:hAnsi="Calibri" w:cs="Calibri"/>
                <w:sz w:val="20"/>
              </w:rPr>
            </w:pPr>
            <w:r w:rsidRPr="003F1850">
              <w:rPr>
                <w:rFonts w:ascii="Calibri" w:hAnsi="Calibri" w:cs="Calibri"/>
                <w:sz w:val="20"/>
                <w:szCs w:val="16"/>
              </w:rPr>
              <w:t xml:space="preserve">Property and management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Other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MEDIA MARKETING AND PUBLISHING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Television media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Radio media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Newspapers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lastRenderedPageBreak/>
              <w:t xml:space="preserve">Magazines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Media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Advertising, marketing, design and PR agencies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Out-of-home advertising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Events, conference and exhibition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Specialised media programmes and projects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Book publishers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ight="-236"/>
              <w:rPr>
                <w:rFonts w:ascii="Calibri" w:hAnsi="Calibri" w:cs="Calibri"/>
                <w:sz w:val="20"/>
              </w:rPr>
            </w:pPr>
            <w:r w:rsidRPr="003F1850">
              <w:rPr>
                <w:rFonts w:ascii="Calibri" w:hAnsi="Calibri" w:cs="Calibri"/>
                <w:b/>
                <w:bCs/>
                <w:sz w:val="20"/>
                <w:szCs w:val="16"/>
              </w:rPr>
              <w:lastRenderedPageBreak/>
              <w:t xml:space="preserve">MEDIA PRODUCTION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Film, video and TV production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lang w:val="fr-FR"/>
              </w:rPr>
            </w:pPr>
            <w:r w:rsidRPr="003F1850">
              <w:rPr>
                <w:rFonts w:ascii="Calibri" w:hAnsi="Calibri" w:cs="Calibri"/>
                <w:sz w:val="20"/>
                <w:szCs w:val="16"/>
                <w:lang w:val="fr-FR"/>
              </w:rPr>
              <w:t xml:space="preserve">Production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Reproduction and print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Signage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Promotional items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Printers and screen printers</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SPORT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Sports teams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Sports organisations</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Sports products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Sports events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Sports other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CULTURE, ENTERTAINMENT, MUSIC AND RECREATION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Performing bodies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Entertainment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Recording companies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Events and productions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TRANSPORT AND LOGISTICS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Freight, couriers and logistics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Other services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TOURISM, TRAVEL AND HOSPITALITY</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Air, road, sea and rail transport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Hotels and accommodation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Tour operators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Agents and organisations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Destinations and attractions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EXPORT AND TRADE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Trading companies and agents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rPr>
                <w:rFonts w:ascii="Calibri" w:hAnsi="Calibri" w:cs="Calibri"/>
                <w:sz w:val="20"/>
              </w:rPr>
            </w:pPr>
            <w:r w:rsidRPr="003F1850">
              <w:rPr>
                <w:rFonts w:ascii="Calibri" w:hAnsi="Calibri" w:cs="Calibri"/>
                <w:b/>
                <w:bCs/>
                <w:sz w:val="20"/>
                <w:szCs w:val="16"/>
              </w:rPr>
              <w:t xml:space="preserve">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Household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szCs w:val="16"/>
              </w:rPr>
              <w:t xml:space="preserve">Personal services </w:t>
            </w:r>
          </w:p>
          <w:p w:rsidR="009425F1" w:rsidRPr="003F1850" w:rsidRDefault="009425F1" w:rsidP="009425F1">
            <w:pPr>
              <w:numPr>
                <w:ilvl w:val="1"/>
                <w:numId w:val="24"/>
              </w:numPr>
              <w:tabs>
                <w:tab w:val="clear" w:pos="1440"/>
                <w:tab w:val="num" w:pos="1080"/>
              </w:tabs>
              <w:spacing w:after="0" w:line="240" w:lineRule="auto"/>
              <w:ind w:left="1080"/>
              <w:rPr>
                <w:rFonts w:ascii="Calibri" w:hAnsi="Calibri" w:cs="Calibri"/>
                <w:sz w:val="20"/>
              </w:rPr>
            </w:pPr>
            <w:r w:rsidRPr="003F1850">
              <w:rPr>
                <w:rFonts w:ascii="Calibri" w:hAnsi="Calibri" w:cs="Calibri"/>
                <w:sz w:val="20"/>
              </w:rPr>
              <w:t xml:space="preserve">Office services </w:t>
            </w:r>
          </w:p>
        </w:tc>
        <w:tc>
          <w:tcPr>
            <w:tcW w:w="3708" w:type="dxa"/>
          </w:tcPr>
          <w:p w:rsidR="009425F1" w:rsidRPr="003F1850" w:rsidRDefault="009425F1" w:rsidP="009703B1">
            <w:pPr>
              <w:pStyle w:val="Default"/>
              <w:rPr>
                <w:rFonts w:ascii="Calibri" w:hAnsi="Calibri" w:cs="Calibri"/>
              </w:rPr>
            </w:pPr>
          </w:p>
        </w:tc>
      </w:tr>
      <w:tr w:rsidR="009425F1" w:rsidRPr="003F1850" w:rsidTr="009703B1">
        <w:tblPrEx>
          <w:tblCellMar>
            <w:top w:w="0" w:type="dxa"/>
            <w:bottom w:w="0" w:type="dxa"/>
          </w:tblCellMar>
        </w:tblPrEx>
        <w:tc>
          <w:tcPr>
            <w:tcW w:w="6048" w:type="dxa"/>
          </w:tcPr>
          <w:p w:rsidR="009425F1" w:rsidRPr="003F1850" w:rsidRDefault="009425F1" w:rsidP="009425F1">
            <w:pPr>
              <w:numPr>
                <w:ilvl w:val="0"/>
                <w:numId w:val="24"/>
              </w:numPr>
              <w:tabs>
                <w:tab w:val="clear" w:pos="720"/>
                <w:tab w:val="num" w:pos="360"/>
              </w:tabs>
              <w:spacing w:after="0" w:line="240" w:lineRule="auto"/>
              <w:ind w:left="360"/>
              <w:jc w:val="both"/>
              <w:rPr>
                <w:rFonts w:ascii="Calibri" w:hAnsi="Calibri" w:cs="Calibri"/>
                <w:b/>
                <w:bCs/>
                <w:sz w:val="20"/>
              </w:rPr>
            </w:pPr>
            <w:r w:rsidRPr="003F1850">
              <w:rPr>
                <w:rFonts w:ascii="Calibri" w:hAnsi="Calibri" w:cs="Calibri"/>
                <w:b/>
                <w:bCs/>
                <w:sz w:val="20"/>
              </w:rPr>
              <w:t xml:space="preserve">UTILITIES AND MUNICIPAL SERVICES </w:t>
            </w:r>
          </w:p>
        </w:tc>
        <w:tc>
          <w:tcPr>
            <w:tcW w:w="3708" w:type="dxa"/>
          </w:tcPr>
          <w:p w:rsidR="009425F1" w:rsidRPr="003F1850" w:rsidRDefault="009425F1" w:rsidP="009703B1">
            <w:pPr>
              <w:pStyle w:val="Default"/>
              <w:rPr>
                <w:rFonts w:ascii="Calibri" w:hAnsi="Calibri" w:cs="Calibri"/>
                <w:b/>
                <w:bCs/>
              </w:rPr>
            </w:pPr>
          </w:p>
        </w:tc>
      </w:tr>
      <w:tr w:rsidR="009425F1" w:rsidRPr="003F1850" w:rsidTr="009703B1">
        <w:tblPrEx>
          <w:tblCellMar>
            <w:top w:w="0" w:type="dxa"/>
            <w:bottom w:w="0" w:type="dxa"/>
          </w:tblCellMar>
        </w:tblPrEx>
        <w:tc>
          <w:tcPr>
            <w:tcW w:w="6048" w:type="dxa"/>
          </w:tcPr>
          <w:p w:rsidR="009425F1" w:rsidRDefault="009425F1" w:rsidP="009425F1">
            <w:pPr>
              <w:numPr>
                <w:ilvl w:val="0"/>
                <w:numId w:val="24"/>
              </w:numPr>
              <w:tabs>
                <w:tab w:val="clear" w:pos="720"/>
                <w:tab w:val="num" w:pos="360"/>
              </w:tabs>
              <w:spacing w:after="0" w:line="240" w:lineRule="auto"/>
              <w:ind w:left="360"/>
              <w:jc w:val="both"/>
              <w:rPr>
                <w:rFonts w:ascii="Calibri" w:hAnsi="Calibri" w:cs="Calibri"/>
                <w:b/>
                <w:bCs/>
                <w:sz w:val="20"/>
              </w:rPr>
            </w:pPr>
            <w:r>
              <w:rPr>
                <w:rFonts w:ascii="Calibri" w:hAnsi="Calibri" w:cs="Calibri"/>
                <w:b/>
                <w:bCs/>
                <w:sz w:val="20"/>
              </w:rPr>
              <w:t>INFORMAL SECTOR/S</w:t>
            </w:r>
          </w:p>
          <w:p w:rsidR="009425F1" w:rsidRDefault="009425F1" w:rsidP="009425F1">
            <w:pPr>
              <w:numPr>
                <w:ilvl w:val="1"/>
                <w:numId w:val="24"/>
              </w:numPr>
              <w:spacing w:after="0" w:line="240" w:lineRule="auto"/>
              <w:jc w:val="both"/>
              <w:rPr>
                <w:rFonts w:ascii="Calibri" w:hAnsi="Calibri" w:cs="Calibri"/>
                <w:bCs/>
                <w:sz w:val="20"/>
              </w:rPr>
            </w:pPr>
            <w:r w:rsidRPr="004040D3">
              <w:rPr>
                <w:rFonts w:ascii="Calibri" w:hAnsi="Calibri" w:cs="Calibri"/>
                <w:bCs/>
                <w:sz w:val="20"/>
              </w:rPr>
              <w:t>Hair</w:t>
            </w:r>
            <w:r>
              <w:rPr>
                <w:rFonts w:ascii="Calibri" w:hAnsi="Calibri" w:cs="Calibri"/>
                <w:bCs/>
                <w:sz w:val="20"/>
              </w:rPr>
              <w:t xml:space="preserve"> salon</w:t>
            </w:r>
          </w:p>
          <w:p w:rsidR="009425F1" w:rsidRDefault="009425F1" w:rsidP="009425F1">
            <w:pPr>
              <w:numPr>
                <w:ilvl w:val="1"/>
                <w:numId w:val="24"/>
              </w:numPr>
              <w:spacing w:after="0" w:line="240" w:lineRule="auto"/>
              <w:jc w:val="both"/>
              <w:rPr>
                <w:rFonts w:ascii="Calibri" w:hAnsi="Calibri" w:cs="Calibri"/>
                <w:bCs/>
                <w:sz w:val="20"/>
              </w:rPr>
            </w:pPr>
            <w:r>
              <w:rPr>
                <w:rFonts w:ascii="Calibri" w:hAnsi="Calibri" w:cs="Calibri"/>
                <w:bCs/>
                <w:sz w:val="20"/>
              </w:rPr>
              <w:t>Barbershop</w:t>
            </w:r>
          </w:p>
          <w:p w:rsidR="009425F1" w:rsidRDefault="009425F1" w:rsidP="009425F1">
            <w:pPr>
              <w:numPr>
                <w:ilvl w:val="1"/>
                <w:numId w:val="24"/>
              </w:numPr>
              <w:spacing w:after="0" w:line="240" w:lineRule="auto"/>
              <w:jc w:val="both"/>
              <w:rPr>
                <w:rFonts w:ascii="Calibri" w:hAnsi="Calibri" w:cs="Calibri"/>
                <w:bCs/>
                <w:sz w:val="20"/>
              </w:rPr>
            </w:pPr>
            <w:r>
              <w:rPr>
                <w:rFonts w:ascii="Calibri" w:hAnsi="Calibri" w:cs="Calibri"/>
                <w:bCs/>
                <w:sz w:val="20"/>
              </w:rPr>
              <w:t xml:space="preserve">Spaza shop </w:t>
            </w:r>
          </w:p>
          <w:p w:rsidR="009425F1" w:rsidRDefault="009425F1" w:rsidP="009425F1">
            <w:pPr>
              <w:numPr>
                <w:ilvl w:val="1"/>
                <w:numId w:val="24"/>
              </w:numPr>
              <w:spacing w:after="0" w:line="240" w:lineRule="auto"/>
              <w:jc w:val="both"/>
              <w:rPr>
                <w:rFonts w:ascii="Calibri" w:hAnsi="Calibri" w:cs="Calibri"/>
                <w:bCs/>
                <w:sz w:val="20"/>
              </w:rPr>
            </w:pPr>
            <w:r>
              <w:rPr>
                <w:rFonts w:ascii="Calibri" w:hAnsi="Calibri" w:cs="Calibri"/>
                <w:bCs/>
                <w:sz w:val="20"/>
              </w:rPr>
              <w:t>House shops</w:t>
            </w:r>
          </w:p>
          <w:p w:rsidR="009425F1" w:rsidRPr="003F1850" w:rsidRDefault="009425F1" w:rsidP="009425F1">
            <w:pPr>
              <w:numPr>
                <w:ilvl w:val="1"/>
                <w:numId w:val="24"/>
              </w:numPr>
              <w:spacing w:after="0" w:line="240" w:lineRule="auto"/>
              <w:jc w:val="both"/>
              <w:rPr>
                <w:rFonts w:ascii="Calibri" w:hAnsi="Calibri" w:cs="Calibri"/>
                <w:b/>
                <w:bCs/>
                <w:sz w:val="20"/>
              </w:rPr>
            </w:pPr>
            <w:r>
              <w:rPr>
                <w:rFonts w:ascii="Calibri" w:hAnsi="Calibri" w:cs="Calibri"/>
                <w:bCs/>
                <w:sz w:val="20"/>
              </w:rPr>
              <w:t>Fruit &amp; Vegetables (Stalls)</w:t>
            </w:r>
          </w:p>
        </w:tc>
        <w:tc>
          <w:tcPr>
            <w:tcW w:w="3708" w:type="dxa"/>
          </w:tcPr>
          <w:p w:rsidR="009425F1" w:rsidRPr="003F1850" w:rsidRDefault="009425F1" w:rsidP="009703B1">
            <w:pPr>
              <w:pStyle w:val="Default"/>
              <w:rPr>
                <w:rFonts w:ascii="Calibri" w:hAnsi="Calibri" w:cs="Calibri"/>
                <w:b/>
                <w:bCs/>
              </w:rPr>
            </w:pPr>
          </w:p>
        </w:tc>
      </w:tr>
    </w:tbl>
    <w:p w:rsidR="009425F1" w:rsidRDefault="009425F1" w:rsidP="009425F1">
      <w:pPr>
        <w:pStyle w:val="Default"/>
        <w:rPr>
          <w:rFonts w:ascii="Times New Roman" w:hAnsi="Times New Roman"/>
        </w:rPr>
      </w:pPr>
    </w:p>
    <w:p w:rsidR="009425F1" w:rsidRDefault="009425F1"/>
    <w:p w:rsidR="009425F1" w:rsidRDefault="009425F1">
      <w:r>
        <w:br w:type="page"/>
      </w:r>
    </w:p>
    <w:tbl>
      <w:tblPr>
        <w:tblW w:w="5312" w:type="pct"/>
        <w:tblInd w:w="-289" w:type="dxa"/>
        <w:tblLayout w:type="fixed"/>
        <w:tblLook w:val="04A0" w:firstRow="1" w:lastRow="0" w:firstColumn="1" w:lastColumn="0" w:noHBand="0" w:noVBand="1"/>
      </w:tblPr>
      <w:tblGrid>
        <w:gridCol w:w="7938"/>
        <w:gridCol w:w="2412"/>
      </w:tblGrid>
      <w:tr w:rsidR="009425F1" w:rsidRPr="009425F1" w:rsidTr="009425F1">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b/>
                <w:bCs/>
                <w:color w:val="000000"/>
                <w:sz w:val="36"/>
                <w:szCs w:val="36"/>
                <w:lang w:eastAsia="en-ZA"/>
              </w:rPr>
            </w:pPr>
            <w:r w:rsidRPr="009425F1">
              <w:rPr>
                <w:rFonts w:ascii="Calibri" w:eastAsia="Times New Roman" w:hAnsi="Calibri" w:cs="Times New Roman"/>
                <w:b/>
                <w:bCs/>
                <w:color w:val="000000"/>
                <w:sz w:val="36"/>
                <w:szCs w:val="36"/>
                <w:lang w:eastAsia="en-ZA"/>
              </w:rPr>
              <w:lastRenderedPageBreak/>
              <w:t xml:space="preserve">BERGRIVIER MUNICIPALITY - COVID - 19 BUSINESS SURVEY </w:t>
            </w: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Question</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 xml:space="preserve"> What industry does your business fall under ?</w:t>
            </w:r>
          </w:p>
        </w:tc>
        <w:tc>
          <w:tcPr>
            <w:tcW w:w="1165" w:type="pct"/>
            <w:tcBorders>
              <w:top w:val="nil"/>
              <w:left w:val="nil"/>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 </w:t>
            </w:r>
          </w:p>
        </w:tc>
      </w:tr>
      <w:tr w:rsidR="009425F1" w:rsidRPr="009425F1" w:rsidTr="009425F1">
        <w:trPr>
          <w:trHeight w:val="300"/>
        </w:trPr>
        <w:tc>
          <w:tcPr>
            <w:tcW w:w="383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425F1" w:rsidRPr="009425F1" w:rsidRDefault="009425F1" w:rsidP="009425F1">
            <w:pPr>
              <w:spacing w:after="0" w:line="240" w:lineRule="auto"/>
              <w:rPr>
                <w:rFonts w:ascii="Calibri" w:eastAsia="Times New Roman" w:hAnsi="Calibri" w:cs="Times New Roman"/>
                <w:b/>
                <w:bCs/>
                <w:color w:val="FF0000"/>
                <w:sz w:val="20"/>
                <w:szCs w:val="20"/>
                <w:lang w:eastAsia="en-ZA"/>
              </w:rPr>
            </w:pPr>
            <w:r w:rsidRPr="009425F1">
              <w:rPr>
                <w:rFonts w:ascii="Calibri" w:eastAsia="Times New Roman" w:hAnsi="Calibri" w:cs="Times New Roman"/>
                <w:b/>
                <w:bCs/>
                <w:color w:val="FF0000"/>
                <w:sz w:val="20"/>
                <w:szCs w:val="20"/>
                <w:lang w:eastAsia="en-ZA"/>
              </w:rPr>
              <w:t>Complete Annexure "A"</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 </w:t>
            </w: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b/>
                <w:bCs/>
                <w:color w:val="FF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b/>
                <w:bCs/>
                <w:color w:val="FF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Where are you located in the Bergrivier Municipal Area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425F1" w:rsidRPr="009425F1" w:rsidRDefault="009425F1" w:rsidP="009425F1">
            <w:pPr>
              <w:spacing w:after="0" w:line="240" w:lineRule="auto"/>
              <w:rPr>
                <w:rFonts w:ascii="Calibri" w:eastAsia="Times New Roman" w:hAnsi="Calibri" w:cs="Times New Roman"/>
                <w:b/>
                <w:bCs/>
                <w:color w:val="FF0000"/>
                <w:sz w:val="20"/>
                <w:szCs w:val="20"/>
                <w:lang w:eastAsia="en-ZA"/>
              </w:rPr>
            </w:pPr>
            <w:r w:rsidRPr="009425F1">
              <w:rPr>
                <w:rFonts w:ascii="Calibri" w:eastAsia="Times New Roman" w:hAnsi="Calibri" w:cs="Times New Roman"/>
                <w:b/>
                <w:bCs/>
                <w:color w:val="FF0000"/>
                <w:sz w:val="20"/>
                <w:szCs w:val="20"/>
                <w:lang w:eastAsia="en-ZA"/>
              </w:rPr>
              <w:t>Name the town</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b/>
                <w:bCs/>
                <w:color w:val="FF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b/>
                <w:bCs/>
                <w:color w:val="FF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Are you a member of the Business Chamber  or any other organised business structure?</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If yes, which Business Chamber and/or organized business structure</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DA207F" w:rsidP="009425F1">
            <w:pPr>
              <w:spacing w:after="0" w:line="240" w:lineRule="auto"/>
              <w:rPr>
                <w:rFonts w:ascii="Calibri" w:eastAsia="Times New Roman" w:hAnsi="Calibri" w:cs="Times New Roman"/>
                <w:b/>
                <w:bCs/>
                <w:color w:val="000000"/>
                <w:sz w:val="20"/>
                <w:szCs w:val="20"/>
                <w:lang w:eastAsia="en-ZA"/>
              </w:rPr>
            </w:pPr>
            <w:r>
              <w:rPr>
                <w:rFonts w:ascii="Calibri" w:eastAsia="Times New Roman" w:hAnsi="Calibri" w:cs="Times New Roman"/>
                <w:b/>
                <w:bCs/>
                <w:color w:val="000000"/>
                <w:sz w:val="20"/>
                <w:szCs w:val="20"/>
                <w:lang w:eastAsia="en-ZA"/>
              </w:rPr>
              <w:t xml:space="preserve">Was your business </w:t>
            </w:r>
            <w:r w:rsidR="009425F1" w:rsidRPr="009425F1">
              <w:rPr>
                <w:rFonts w:ascii="Calibri" w:eastAsia="Times New Roman" w:hAnsi="Calibri" w:cs="Times New Roman"/>
                <w:b/>
                <w:bCs/>
                <w:color w:val="000000"/>
                <w:sz w:val="20"/>
                <w:szCs w:val="20"/>
                <w:lang w:eastAsia="en-ZA"/>
              </w:rPr>
              <w:t>open under the Level 5 and 4 lockdown restrictions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sz w:val="20"/>
                <w:szCs w:val="2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DA207F" w:rsidP="009425F1">
            <w:pPr>
              <w:spacing w:after="0" w:line="240" w:lineRule="auto"/>
              <w:rPr>
                <w:rFonts w:ascii="Calibri" w:eastAsia="Times New Roman" w:hAnsi="Calibri" w:cs="Times New Roman"/>
                <w:b/>
                <w:bCs/>
                <w:color w:val="000000"/>
                <w:sz w:val="20"/>
                <w:szCs w:val="20"/>
                <w:lang w:eastAsia="en-ZA"/>
              </w:rPr>
            </w:pPr>
            <w:r>
              <w:rPr>
                <w:rFonts w:ascii="Calibri" w:eastAsia="Times New Roman" w:hAnsi="Calibri" w:cs="Times New Roman"/>
                <w:b/>
                <w:bCs/>
                <w:color w:val="000000"/>
                <w:sz w:val="20"/>
                <w:szCs w:val="20"/>
                <w:lang w:eastAsia="en-ZA"/>
              </w:rPr>
              <w:t xml:space="preserve">Is your business </w:t>
            </w:r>
            <w:r w:rsidR="009425F1" w:rsidRPr="009425F1">
              <w:rPr>
                <w:rFonts w:ascii="Calibri" w:eastAsia="Times New Roman" w:hAnsi="Calibri" w:cs="Times New Roman"/>
                <w:b/>
                <w:bCs/>
                <w:color w:val="000000"/>
                <w:sz w:val="20"/>
                <w:szCs w:val="20"/>
                <w:lang w:eastAsia="en-ZA"/>
              </w:rPr>
              <w:t>open under the Level 3 lockdown restrictions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single" w:sz="4" w:space="0" w:color="auto"/>
              <w:left w:val="single" w:sz="4" w:space="0" w:color="auto"/>
              <w:bottom w:val="single" w:sz="4" w:space="0" w:color="000000"/>
              <w:right w:val="nil"/>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When do you plan to reopen your business, if not  open yet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How many full time employees does your business have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How many part time employees does your business have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On average, how many dependants does an individual staff member have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What is your percentage of your total salary to the total expenditure?</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Are you forced to consider retrenchments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auto"/>
              <w:right w:val="single" w:sz="4" w:space="0" w:color="auto"/>
            </w:tcBorders>
            <w:shd w:val="clear" w:color="000000" w:fill="FFFFF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lastRenderedPageBreak/>
              <w:t>How many s</w:t>
            </w:r>
            <w:r w:rsidR="00DA207F">
              <w:rPr>
                <w:rFonts w:ascii="Calibri" w:eastAsia="Times New Roman" w:hAnsi="Calibri" w:cs="Times New Roman"/>
                <w:b/>
                <w:bCs/>
                <w:color w:val="000000"/>
                <w:sz w:val="20"/>
                <w:szCs w:val="20"/>
                <w:lang w:eastAsia="en-ZA"/>
              </w:rPr>
              <w:t>taff will you need to retrench</w:t>
            </w:r>
            <w:r w:rsidRPr="009425F1">
              <w:rPr>
                <w:rFonts w:ascii="Calibri" w:eastAsia="Times New Roman" w:hAnsi="Calibri" w:cs="Times New Roman"/>
                <w:b/>
                <w:bCs/>
                <w:color w:val="000000"/>
                <w:sz w:val="20"/>
                <w:szCs w:val="20"/>
                <w:lang w:eastAsia="en-ZA"/>
              </w:rPr>
              <w:t>?</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With what percentage did you turnover decrease with lockdown?</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single" w:sz="4" w:space="0" w:color="auto"/>
              <w:left w:val="single" w:sz="4" w:space="0" w:color="auto"/>
              <w:bottom w:val="single" w:sz="4" w:space="0" w:color="000000"/>
              <w:right w:val="nil"/>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How do you anticipate May &amp; June 2020 turnover will change compared to 2019 ?</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Will you be able to pay your monthly expenses for your business?</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How has your landlord adjusted your rental ? You can comment where relevant?</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Please indicate which travel bans impact your business</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single" w:sz="4" w:space="0" w:color="auto"/>
              <w:left w:val="single" w:sz="4" w:space="0" w:color="auto"/>
              <w:bottom w:val="single" w:sz="4" w:space="0" w:color="000000"/>
              <w:right w:val="nil"/>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Does your business support small and medium business ? If so, please explain</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Have you applied and qualified for any of fund relief options available through the government and various financial institutions ?</w:t>
            </w:r>
          </w:p>
        </w:tc>
        <w:tc>
          <w:tcPr>
            <w:tcW w:w="1165" w:type="pct"/>
            <w:tcBorders>
              <w:top w:val="nil"/>
              <w:left w:val="nil"/>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 </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If yes to previous question, please tell us your experience with the application</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single" w:sz="4" w:space="0" w:color="auto"/>
              <w:left w:val="single" w:sz="4" w:space="0" w:color="auto"/>
              <w:bottom w:val="single" w:sz="4" w:space="0" w:color="000000"/>
              <w:right w:val="nil"/>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single" w:sz="4" w:space="0" w:color="000000"/>
              <w:left w:val="single" w:sz="4" w:space="0" w:color="auto"/>
              <w:bottom w:val="single" w:sz="4" w:space="0" w:color="000000"/>
              <w:right w:val="nil"/>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auto"/>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If no to previous question, what kind of assistance do you need?</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tcBorders>
              <w:top w:val="nil"/>
              <w:left w:val="single" w:sz="4" w:space="0" w:color="auto"/>
              <w:bottom w:val="single" w:sz="4" w:space="0" w:color="auto"/>
              <w:right w:val="single" w:sz="4" w:space="0" w:color="auto"/>
            </w:tcBorders>
            <w:shd w:val="clear" w:color="000000" w:fill="F2F2F2"/>
            <w:noWrap/>
            <w:vAlign w:val="bottom"/>
            <w:hideMark/>
          </w:tcPr>
          <w:p w:rsidR="009425F1" w:rsidRPr="009425F1" w:rsidRDefault="009425F1" w:rsidP="009425F1">
            <w:pPr>
              <w:spacing w:after="0" w:line="240" w:lineRule="auto"/>
              <w:rPr>
                <w:rFonts w:ascii="Calibri" w:eastAsia="Times New Roman" w:hAnsi="Calibri" w:cs="Times New Roman"/>
                <w:b/>
                <w:bCs/>
                <w:color w:val="000000"/>
                <w:sz w:val="20"/>
                <w:szCs w:val="20"/>
                <w:lang w:eastAsia="en-ZA"/>
              </w:rPr>
            </w:pPr>
            <w:r w:rsidRPr="009425F1">
              <w:rPr>
                <w:rFonts w:ascii="Calibri" w:eastAsia="Times New Roman" w:hAnsi="Calibri" w:cs="Times New Roman"/>
                <w:b/>
                <w:bCs/>
                <w:color w:val="000000"/>
                <w:sz w:val="20"/>
                <w:szCs w:val="20"/>
                <w:lang w:eastAsia="en-ZA"/>
              </w:rPr>
              <w:t>General comments on what could assist you to keep your business open</w:t>
            </w:r>
          </w:p>
        </w:tc>
        <w:tc>
          <w:tcPr>
            <w:tcW w:w="1165" w:type="pct"/>
            <w:tcBorders>
              <w:top w:val="nil"/>
              <w:left w:val="nil"/>
              <w:bottom w:val="single" w:sz="4" w:space="0" w:color="auto"/>
              <w:right w:val="single" w:sz="4" w:space="0" w:color="auto"/>
            </w:tcBorders>
            <w:shd w:val="clear" w:color="000000" w:fill="BFBFBF"/>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sz w:val="20"/>
                <w:szCs w:val="20"/>
                <w:lang w:eastAsia="en-ZA"/>
              </w:rPr>
            </w:pPr>
            <w:r w:rsidRPr="009425F1">
              <w:rPr>
                <w:rFonts w:ascii="Calibri" w:eastAsia="Times New Roman" w:hAnsi="Calibri" w:cs="Times New Roman"/>
                <w:color w:val="000000"/>
                <w:sz w:val="20"/>
                <w:szCs w:val="20"/>
                <w:lang w:eastAsia="en-ZA"/>
              </w:rPr>
              <w:t>Answer</w:t>
            </w:r>
          </w:p>
        </w:tc>
      </w:tr>
      <w:tr w:rsidR="009425F1" w:rsidRPr="009425F1" w:rsidTr="009425F1">
        <w:trPr>
          <w:trHeight w:val="300"/>
        </w:trPr>
        <w:tc>
          <w:tcPr>
            <w:tcW w:w="383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c>
          <w:tcPr>
            <w:tcW w:w="116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color w:val="000000"/>
                <w:lang w:eastAsia="en-ZA"/>
              </w:rPr>
            </w:pPr>
            <w:r w:rsidRPr="009425F1">
              <w:rPr>
                <w:rFonts w:ascii="Calibri" w:eastAsia="Times New Roman" w:hAnsi="Calibri" w:cs="Times New Roman"/>
                <w:color w:val="000000"/>
                <w:lang w:eastAsia="en-ZA"/>
              </w:rPr>
              <w:t> </w:t>
            </w: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383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c>
          <w:tcPr>
            <w:tcW w:w="1165" w:type="pct"/>
            <w:vMerge/>
            <w:tcBorders>
              <w:top w:val="nil"/>
              <w:left w:val="single" w:sz="4" w:space="0" w:color="auto"/>
              <w:bottom w:val="single" w:sz="4" w:space="0" w:color="000000"/>
              <w:right w:val="single" w:sz="4" w:space="0" w:color="auto"/>
            </w:tcBorders>
            <w:vAlign w:val="center"/>
            <w:hideMark/>
          </w:tcPr>
          <w:p w:rsidR="009425F1" w:rsidRPr="009425F1" w:rsidRDefault="009425F1" w:rsidP="009425F1">
            <w:pPr>
              <w:spacing w:after="0" w:line="240" w:lineRule="auto"/>
              <w:rPr>
                <w:rFonts w:ascii="Calibri" w:eastAsia="Times New Roman" w:hAnsi="Calibri" w:cs="Times New Roman"/>
                <w:color w:val="000000"/>
                <w:lang w:eastAsia="en-ZA"/>
              </w:rPr>
            </w:pPr>
          </w:p>
        </w:tc>
      </w:tr>
      <w:tr w:rsidR="009425F1" w:rsidRPr="009425F1" w:rsidTr="009425F1">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b/>
                <w:bCs/>
                <w:color w:val="FF0000"/>
                <w:lang w:eastAsia="en-ZA"/>
              </w:rPr>
            </w:pPr>
            <w:r w:rsidRPr="009425F1">
              <w:rPr>
                <w:rFonts w:ascii="Calibri" w:eastAsia="Times New Roman" w:hAnsi="Calibri" w:cs="Times New Roman"/>
                <w:b/>
                <w:bCs/>
                <w:color w:val="FF0000"/>
                <w:lang w:eastAsia="en-ZA"/>
              </w:rPr>
              <w:t>PLEASE EMAIL YOUR RESPONSE TO Davidsc@Bergmun.org.za or sbadmin@bergmun.org.za</w:t>
            </w:r>
          </w:p>
        </w:tc>
      </w:tr>
      <w:tr w:rsidR="009425F1" w:rsidRPr="009425F1" w:rsidTr="009425F1">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5F1" w:rsidRPr="009425F1" w:rsidRDefault="009425F1" w:rsidP="009425F1">
            <w:pPr>
              <w:spacing w:after="0" w:line="240" w:lineRule="auto"/>
              <w:jc w:val="center"/>
              <w:rPr>
                <w:rFonts w:ascii="Calibri" w:eastAsia="Times New Roman" w:hAnsi="Calibri" w:cs="Times New Roman"/>
                <w:b/>
                <w:bCs/>
                <w:color w:val="FF0000"/>
                <w:lang w:eastAsia="en-ZA"/>
              </w:rPr>
            </w:pPr>
            <w:r w:rsidRPr="009425F1">
              <w:rPr>
                <w:rFonts w:ascii="Calibri" w:eastAsia="Times New Roman" w:hAnsi="Calibri" w:cs="Times New Roman"/>
                <w:b/>
                <w:bCs/>
                <w:color w:val="FF0000"/>
                <w:lang w:eastAsia="en-ZA"/>
              </w:rPr>
              <w:t>NOT LATER THAN 3 AUGUST 2020</w:t>
            </w:r>
          </w:p>
        </w:tc>
      </w:tr>
    </w:tbl>
    <w:p w:rsidR="0011408B" w:rsidRDefault="0011408B"/>
    <w:sectPr w:rsidR="0011408B" w:rsidSect="005E4297">
      <w:pgSz w:w="11906" w:h="16838"/>
      <w:pgMar w:top="1077" w:right="1077" w:bottom="1077" w:left="107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FE0" w:rsidRDefault="00E94FE0" w:rsidP="00493D94">
      <w:pPr>
        <w:spacing w:after="0" w:line="240" w:lineRule="auto"/>
      </w:pPr>
      <w:r>
        <w:separator/>
      </w:r>
    </w:p>
  </w:endnote>
  <w:endnote w:type="continuationSeparator" w:id="0">
    <w:p w:rsidR="00E94FE0" w:rsidRDefault="00E94FE0" w:rsidP="0049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4369"/>
      <w:docPartObj>
        <w:docPartGallery w:val="Page Numbers (Bottom of Page)"/>
        <w:docPartUnique/>
      </w:docPartObj>
    </w:sdtPr>
    <w:sdtEndPr>
      <w:rPr>
        <w:color w:val="7F7F7F" w:themeColor="background1" w:themeShade="7F"/>
        <w:spacing w:val="60"/>
      </w:rPr>
    </w:sdtEndPr>
    <w:sdtContent>
      <w:p w:rsidR="009703B1" w:rsidRDefault="009703B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711DF" w:rsidRPr="001711DF">
          <w:rPr>
            <w:b/>
            <w:bCs/>
            <w:noProof/>
          </w:rPr>
          <w:t>28</w:t>
        </w:r>
        <w:r>
          <w:rPr>
            <w:b/>
            <w:bCs/>
            <w:noProof/>
          </w:rPr>
          <w:fldChar w:fldCharType="end"/>
        </w:r>
        <w:r>
          <w:rPr>
            <w:b/>
            <w:bCs/>
          </w:rPr>
          <w:t xml:space="preserve"> | </w:t>
        </w:r>
        <w:r>
          <w:rPr>
            <w:color w:val="7F7F7F" w:themeColor="background1" w:themeShade="7F"/>
            <w:spacing w:val="60"/>
          </w:rPr>
          <w:t>Page</w:t>
        </w:r>
      </w:p>
    </w:sdtContent>
  </w:sdt>
  <w:p w:rsidR="009703B1" w:rsidRDefault="00970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FE0" w:rsidRDefault="00E94FE0" w:rsidP="00493D94">
      <w:pPr>
        <w:spacing w:after="0" w:line="240" w:lineRule="auto"/>
      </w:pPr>
      <w:r>
        <w:separator/>
      </w:r>
    </w:p>
  </w:footnote>
  <w:footnote w:type="continuationSeparator" w:id="0">
    <w:p w:rsidR="00E94FE0" w:rsidRDefault="00E94FE0" w:rsidP="00493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B1" w:rsidRDefault="009703B1">
    <w:pPr>
      <w:pStyle w:val="Header"/>
    </w:pPr>
    <w:r>
      <w:rPr>
        <w:noProof/>
        <w:lang w:eastAsia="en-ZA"/>
      </w:rPr>
      <mc:AlternateContent>
        <mc:Choice Requires="wps">
          <w:drawing>
            <wp:anchor distT="0" distB="0" distL="118745" distR="118745" simplePos="0" relativeHeight="251659264" behindDoc="1" locked="0" layoutInCell="1" allowOverlap="0">
              <wp:simplePos x="0" y="0"/>
              <wp:positionH relativeFrom="page">
                <wp:posOffset>71252</wp:posOffset>
              </wp:positionH>
              <wp:positionV relativeFrom="page">
                <wp:posOffset>534390</wp:posOffset>
              </wp:positionV>
              <wp:extent cx="7493173" cy="227264"/>
              <wp:effectExtent l="0" t="0" r="0" b="1905"/>
              <wp:wrapSquare wrapText="bothSides"/>
              <wp:docPr id="197" name="Rectangle 197"/>
              <wp:cNvGraphicFramePr/>
              <a:graphic xmlns:a="http://schemas.openxmlformats.org/drawingml/2006/main">
                <a:graphicData uri="http://schemas.microsoft.com/office/word/2010/wordprocessingShape">
                  <wps:wsp>
                    <wps:cNvSpPr/>
                    <wps:spPr>
                      <a:xfrm>
                        <a:off x="0" y="0"/>
                        <a:ext cx="7493173" cy="22726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869830966"/>
                            <w:dataBinding w:prefixMappings="xmlns:ns0='http://purl.org/dc/elements/1.1/' xmlns:ns1='http://schemas.openxmlformats.org/package/2006/metadata/core-properties' " w:xpath="/ns1:coreProperties[1]/ns0:title[1]" w:storeItemID="{6C3C8BC8-F283-45AE-878A-BAB7291924A1}"/>
                            <w:text/>
                          </w:sdtPr>
                          <w:sdtContent>
                            <w:p w:rsidR="009703B1" w:rsidRDefault="009703B1">
                              <w:pPr>
                                <w:pStyle w:val="Header"/>
                                <w:jc w:val="center"/>
                                <w:rPr>
                                  <w:caps/>
                                  <w:color w:val="FFFFFF" w:themeColor="background1"/>
                                </w:rPr>
                              </w:pPr>
                              <w:r>
                                <w:rPr>
                                  <w:caps/>
                                  <w:color w:val="FFFFFF" w:themeColor="background1"/>
                                </w:rPr>
                                <w:t>DRAFT BERGRIVIER ECONOMIC RECOVERY PLAN - 2020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margin-left:5.6pt;margin-top:42.1pt;width:590pt;height:17.9pt;z-index:-251657216;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" o:allowoverlap="f" fillcolor="#5b9bd5 [3204]" stroked="f" strokeweight="1pt">
              <v:textbox>
                <w:txbxContent>
                  <w:sdt>
                    <w:sdtPr>
                      <w:rPr>
                        <w:caps/>
                        <w:color w:val="FFFFFF" w:themeColor="background1"/>
                      </w:rPr>
                      <w:alias w:val="Title"/>
                      <w:tag w:val=""/>
                      <w:id w:val="-869830966"/>
                      <w:dataBinding w:prefixMappings="xmlns:ns0='http://purl.org/dc/elements/1.1/' xmlns:ns1='http://schemas.openxmlformats.org/package/2006/metadata/core-properties' " w:xpath="/ns1:coreProperties[1]/ns0:title[1]" w:storeItemID="{6C3C8BC8-F283-45AE-878A-BAB7291924A1}"/>
                      <w:text/>
                    </w:sdtPr>
                    <w:sdtContent>
                      <w:p w:rsidR="009703B1" w:rsidRDefault="009703B1">
                        <w:pPr>
                          <w:pStyle w:val="Header"/>
                          <w:jc w:val="center"/>
                          <w:rPr>
                            <w:caps/>
                            <w:color w:val="FFFFFF" w:themeColor="background1"/>
                          </w:rPr>
                        </w:pPr>
                        <w:r>
                          <w:rPr>
                            <w:caps/>
                            <w:color w:val="FFFFFF" w:themeColor="background1"/>
                          </w:rPr>
                          <w:t>DRAFT BERGRIVIER ECONOMIC RECOVERY PLAN - 2020</w:t>
                        </w:r>
                      </w:p>
                    </w:sdtContent>
                  </w:sdt>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54879"/>
    <w:multiLevelType w:val="hybridMultilevel"/>
    <w:tmpl w:val="3E221272"/>
    <w:lvl w:ilvl="0" w:tplc="04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5055C2"/>
    <w:multiLevelType w:val="hybridMultilevel"/>
    <w:tmpl w:val="7A523F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F21D63"/>
    <w:multiLevelType w:val="hybridMultilevel"/>
    <w:tmpl w:val="748A5BC8"/>
    <w:lvl w:ilvl="0" w:tplc="79F2CC38">
      <w:start w:val="1"/>
      <w:numFmt w:val="bullet"/>
      <w:lvlText w:val=""/>
      <w:lvlJc w:val="left"/>
      <w:pPr>
        <w:tabs>
          <w:tab w:val="num" w:pos="720"/>
        </w:tabs>
        <w:ind w:left="720" w:hanging="360"/>
      </w:pPr>
      <w:rPr>
        <w:rFonts w:ascii="Wingdings" w:hAnsi="Wingdings" w:hint="default"/>
        <w:color w:val="5B9BD5" w:themeColor="accent1"/>
      </w:rPr>
    </w:lvl>
    <w:lvl w:ilvl="1" w:tplc="EF729CFA" w:tentative="1">
      <w:start w:val="1"/>
      <w:numFmt w:val="bullet"/>
      <w:lvlText w:val="•"/>
      <w:lvlJc w:val="left"/>
      <w:pPr>
        <w:tabs>
          <w:tab w:val="num" w:pos="1440"/>
        </w:tabs>
        <w:ind w:left="1440" w:hanging="360"/>
      </w:pPr>
      <w:rPr>
        <w:rFonts w:ascii="Arial" w:hAnsi="Arial" w:hint="default"/>
      </w:rPr>
    </w:lvl>
    <w:lvl w:ilvl="2" w:tplc="92286FAE" w:tentative="1">
      <w:start w:val="1"/>
      <w:numFmt w:val="bullet"/>
      <w:lvlText w:val="•"/>
      <w:lvlJc w:val="left"/>
      <w:pPr>
        <w:tabs>
          <w:tab w:val="num" w:pos="2160"/>
        </w:tabs>
        <w:ind w:left="2160" w:hanging="360"/>
      </w:pPr>
      <w:rPr>
        <w:rFonts w:ascii="Arial" w:hAnsi="Arial" w:hint="default"/>
      </w:rPr>
    </w:lvl>
    <w:lvl w:ilvl="3" w:tplc="053E7E06" w:tentative="1">
      <w:start w:val="1"/>
      <w:numFmt w:val="bullet"/>
      <w:lvlText w:val="•"/>
      <w:lvlJc w:val="left"/>
      <w:pPr>
        <w:tabs>
          <w:tab w:val="num" w:pos="2880"/>
        </w:tabs>
        <w:ind w:left="2880" w:hanging="360"/>
      </w:pPr>
      <w:rPr>
        <w:rFonts w:ascii="Arial" w:hAnsi="Arial" w:hint="default"/>
      </w:rPr>
    </w:lvl>
    <w:lvl w:ilvl="4" w:tplc="309AFEAC" w:tentative="1">
      <w:start w:val="1"/>
      <w:numFmt w:val="bullet"/>
      <w:lvlText w:val="•"/>
      <w:lvlJc w:val="left"/>
      <w:pPr>
        <w:tabs>
          <w:tab w:val="num" w:pos="3600"/>
        </w:tabs>
        <w:ind w:left="3600" w:hanging="360"/>
      </w:pPr>
      <w:rPr>
        <w:rFonts w:ascii="Arial" w:hAnsi="Arial" w:hint="default"/>
      </w:rPr>
    </w:lvl>
    <w:lvl w:ilvl="5" w:tplc="93965C78" w:tentative="1">
      <w:start w:val="1"/>
      <w:numFmt w:val="bullet"/>
      <w:lvlText w:val="•"/>
      <w:lvlJc w:val="left"/>
      <w:pPr>
        <w:tabs>
          <w:tab w:val="num" w:pos="4320"/>
        </w:tabs>
        <w:ind w:left="4320" w:hanging="360"/>
      </w:pPr>
      <w:rPr>
        <w:rFonts w:ascii="Arial" w:hAnsi="Arial" w:hint="default"/>
      </w:rPr>
    </w:lvl>
    <w:lvl w:ilvl="6" w:tplc="DC84760C" w:tentative="1">
      <w:start w:val="1"/>
      <w:numFmt w:val="bullet"/>
      <w:lvlText w:val="•"/>
      <w:lvlJc w:val="left"/>
      <w:pPr>
        <w:tabs>
          <w:tab w:val="num" w:pos="5040"/>
        </w:tabs>
        <w:ind w:left="5040" w:hanging="360"/>
      </w:pPr>
      <w:rPr>
        <w:rFonts w:ascii="Arial" w:hAnsi="Arial" w:hint="default"/>
      </w:rPr>
    </w:lvl>
    <w:lvl w:ilvl="7" w:tplc="48D0CF22" w:tentative="1">
      <w:start w:val="1"/>
      <w:numFmt w:val="bullet"/>
      <w:lvlText w:val="•"/>
      <w:lvlJc w:val="left"/>
      <w:pPr>
        <w:tabs>
          <w:tab w:val="num" w:pos="5760"/>
        </w:tabs>
        <w:ind w:left="5760" w:hanging="360"/>
      </w:pPr>
      <w:rPr>
        <w:rFonts w:ascii="Arial" w:hAnsi="Arial" w:hint="default"/>
      </w:rPr>
    </w:lvl>
    <w:lvl w:ilvl="8" w:tplc="DC064D54" w:tentative="1">
      <w:start w:val="1"/>
      <w:numFmt w:val="bullet"/>
      <w:lvlText w:val="•"/>
      <w:lvlJc w:val="left"/>
      <w:pPr>
        <w:tabs>
          <w:tab w:val="num" w:pos="6480"/>
        </w:tabs>
        <w:ind w:left="6480" w:hanging="360"/>
      </w:pPr>
      <w:rPr>
        <w:rFonts w:ascii="Arial" w:hAnsi="Arial" w:hint="default"/>
      </w:rPr>
    </w:lvl>
  </w:abstractNum>
  <w:abstractNum w:abstractNumId="3">
    <w:nsid w:val="1FD038F3"/>
    <w:multiLevelType w:val="multilevel"/>
    <w:tmpl w:val="F2207A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2DB405BE"/>
    <w:multiLevelType w:val="hybridMultilevel"/>
    <w:tmpl w:val="D7184BFE"/>
    <w:lvl w:ilvl="0" w:tplc="04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1456866"/>
    <w:multiLevelType w:val="hybridMultilevel"/>
    <w:tmpl w:val="299A7894"/>
    <w:lvl w:ilvl="0" w:tplc="5B1A71B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3EB6A0B"/>
    <w:multiLevelType w:val="hybridMultilevel"/>
    <w:tmpl w:val="06FE9D5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35203C08"/>
    <w:multiLevelType w:val="hybridMultilevel"/>
    <w:tmpl w:val="8A021904"/>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8">
    <w:nsid w:val="352D4016"/>
    <w:multiLevelType w:val="hybridMultilevel"/>
    <w:tmpl w:val="A34C4810"/>
    <w:lvl w:ilvl="0" w:tplc="1C090001">
      <w:start w:val="1"/>
      <w:numFmt w:val="bullet"/>
      <w:lvlText w:val=""/>
      <w:lvlJc w:val="left"/>
      <w:pPr>
        <w:ind w:left="1440" w:hanging="360"/>
      </w:pPr>
      <w:rPr>
        <w:rFonts w:ascii="Symbol" w:hAnsi="Symbol" w:cs="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9">
    <w:nsid w:val="3905282B"/>
    <w:multiLevelType w:val="hybridMultilevel"/>
    <w:tmpl w:val="1B025A88"/>
    <w:lvl w:ilvl="0" w:tplc="65ACDFB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96D4DF9"/>
    <w:multiLevelType w:val="hybridMultilevel"/>
    <w:tmpl w:val="FFF05A94"/>
    <w:lvl w:ilvl="0" w:tplc="1C090001">
      <w:start w:val="1"/>
      <w:numFmt w:val="bullet"/>
      <w:lvlText w:val=""/>
      <w:lvlJc w:val="left"/>
      <w:pPr>
        <w:ind w:left="1440" w:hanging="360"/>
      </w:pPr>
      <w:rPr>
        <w:rFonts w:ascii="Symbol" w:hAnsi="Symbol" w:cs="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11">
    <w:nsid w:val="3A4E1350"/>
    <w:multiLevelType w:val="hybridMultilevel"/>
    <w:tmpl w:val="660686E4"/>
    <w:lvl w:ilvl="0" w:tplc="1C09000F">
      <w:start w:val="1"/>
      <w:numFmt w:val="decimal"/>
      <w:lvlText w:val="%1."/>
      <w:lvlJc w:val="left"/>
      <w:pPr>
        <w:ind w:left="720" w:hanging="360"/>
      </w:pPr>
    </w:lvl>
    <w:lvl w:ilvl="1" w:tplc="5E900D06">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FD174D1"/>
    <w:multiLevelType w:val="hybridMultilevel"/>
    <w:tmpl w:val="6F6AD5BC"/>
    <w:lvl w:ilvl="0" w:tplc="04090001">
      <w:start w:val="1"/>
      <w:numFmt w:val="bullet"/>
      <w:lvlText w:val=""/>
      <w:lvlJc w:val="left"/>
      <w:pPr>
        <w:ind w:left="108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4648088F"/>
    <w:multiLevelType w:val="hybridMultilevel"/>
    <w:tmpl w:val="C450C134"/>
    <w:lvl w:ilvl="0" w:tplc="EBD272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84A0917"/>
    <w:multiLevelType w:val="hybridMultilevel"/>
    <w:tmpl w:val="B3068922"/>
    <w:lvl w:ilvl="0" w:tplc="04090001">
      <w:start w:val="1"/>
      <w:numFmt w:val="bullet"/>
      <w:lvlText w:val=""/>
      <w:lvlJc w:val="left"/>
      <w:pPr>
        <w:ind w:left="180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48C72B8A"/>
    <w:multiLevelType w:val="hybridMultilevel"/>
    <w:tmpl w:val="ECC61A30"/>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16">
    <w:nsid w:val="506C7F24"/>
    <w:multiLevelType w:val="hybridMultilevel"/>
    <w:tmpl w:val="C69E54A4"/>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17">
    <w:nsid w:val="525555CA"/>
    <w:multiLevelType w:val="hybridMultilevel"/>
    <w:tmpl w:val="BF42D1DE"/>
    <w:lvl w:ilvl="0" w:tplc="3F4A854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584A563B"/>
    <w:multiLevelType w:val="hybridMultilevel"/>
    <w:tmpl w:val="99B41504"/>
    <w:lvl w:ilvl="0" w:tplc="04090001">
      <w:start w:val="1"/>
      <w:numFmt w:val="bullet"/>
      <w:lvlText w:val=""/>
      <w:lvlJc w:val="left"/>
      <w:pPr>
        <w:ind w:left="1800" w:hanging="72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9">
    <w:nsid w:val="59153849"/>
    <w:multiLevelType w:val="hybridMultilevel"/>
    <w:tmpl w:val="C94294C8"/>
    <w:lvl w:ilvl="0" w:tplc="1D4088D4">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5E6D3D8F"/>
    <w:multiLevelType w:val="hybridMultilevel"/>
    <w:tmpl w:val="D36C4F3C"/>
    <w:lvl w:ilvl="0" w:tplc="1E120526">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nsid w:val="6B0F5F06"/>
    <w:multiLevelType w:val="hybridMultilevel"/>
    <w:tmpl w:val="AF689838"/>
    <w:lvl w:ilvl="0" w:tplc="27647ED8">
      <w:numFmt w:val="bullet"/>
      <w:lvlText w:val="-"/>
      <w:lvlJc w:val="left"/>
      <w:pPr>
        <w:ind w:left="1080" w:hanging="360"/>
      </w:pPr>
      <w:rPr>
        <w:rFonts w:ascii="Calibri" w:eastAsia="Calibri" w:hAnsi="Calibri" w:cs="Times New Roman"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nsid w:val="6D6E5F14"/>
    <w:multiLevelType w:val="hybridMultilevel"/>
    <w:tmpl w:val="ABCAD7DA"/>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23">
    <w:nsid w:val="70BA5E33"/>
    <w:multiLevelType w:val="hybridMultilevel"/>
    <w:tmpl w:val="1A04528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nsid w:val="72516ABE"/>
    <w:multiLevelType w:val="hybridMultilevel"/>
    <w:tmpl w:val="E786C2A6"/>
    <w:lvl w:ilvl="0" w:tplc="B568D93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nsid w:val="74437EFB"/>
    <w:multiLevelType w:val="hybridMultilevel"/>
    <w:tmpl w:val="5F4EBCB0"/>
    <w:lvl w:ilvl="0" w:tplc="04090001">
      <w:start w:val="1"/>
      <w:numFmt w:val="bullet"/>
      <w:lvlText w:val=""/>
      <w:lvlJc w:val="left"/>
      <w:pPr>
        <w:ind w:left="144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7A206CD0"/>
    <w:multiLevelType w:val="hybridMultilevel"/>
    <w:tmpl w:val="4732BA4E"/>
    <w:lvl w:ilvl="0" w:tplc="1C090001">
      <w:start w:val="1"/>
      <w:numFmt w:val="bullet"/>
      <w:lvlText w:val=""/>
      <w:lvlJc w:val="left"/>
      <w:pPr>
        <w:ind w:left="1403" w:hanging="360"/>
      </w:pPr>
      <w:rPr>
        <w:rFonts w:ascii="Symbol" w:hAnsi="Symbol" w:hint="default"/>
      </w:rPr>
    </w:lvl>
    <w:lvl w:ilvl="1" w:tplc="1C090003" w:tentative="1">
      <w:start w:val="1"/>
      <w:numFmt w:val="bullet"/>
      <w:lvlText w:val="o"/>
      <w:lvlJc w:val="left"/>
      <w:pPr>
        <w:ind w:left="2123" w:hanging="360"/>
      </w:pPr>
      <w:rPr>
        <w:rFonts w:ascii="Courier New" w:hAnsi="Courier New" w:cs="Courier New" w:hint="default"/>
      </w:rPr>
    </w:lvl>
    <w:lvl w:ilvl="2" w:tplc="1C090005" w:tentative="1">
      <w:start w:val="1"/>
      <w:numFmt w:val="bullet"/>
      <w:lvlText w:val=""/>
      <w:lvlJc w:val="left"/>
      <w:pPr>
        <w:ind w:left="2843" w:hanging="360"/>
      </w:pPr>
      <w:rPr>
        <w:rFonts w:ascii="Wingdings" w:hAnsi="Wingdings" w:hint="default"/>
      </w:rPr>
    </w:lvl>
    <w:lvl w:ilvl="3" w:tplc="1C090001" w:tentative="1">
      <w:start w:val="1"/>
      <w:numFmt w:val="bullet"/>
      <w:lvlText w:val=""/>
      <w:lvlJc w:val="left"/>
      <w:pPr>
        <w:ind w:left="3563" w:hanging="360"/>
      </w:pPr>
      <w:rPr>
        <w:rFonts w:ascii="Symbol" w:hAnsi="Symbol" w:hint="default"/>
      </w:rPr>
    </w:lvl>
    <w:lvl w:ilvl="4" w:tplc="1C090003" w:tentative="1">
      <w:start w:val="1"/>
      <w:numFmt w:val="bullet"/>
      <w:lvlText w:val="o"/>
      <w:lvlJc w:val="left"/>
      <w:pPr>
        <w:ind w:left="4283" w:hanging="360"/>
      </w:pPr>
      <w:rPr>
        <w:rFonts w:ascii="Courier New" w:hAnsi="Courier New" w:cs="Courier New" w:hint="default"/>
      </w:rPr>
    </w:lvl>
    <w:lvl w:ilvl="5" w:tplc="1C090005" w:tentative="1">
      <w:start w:val="1"/>
      <w:numFmt w:val="bullet"/>
      <w:lvlText w:val=""/>
      <w:lvlJc w:val="left"/>
      <w:pPr>
        <w:ind w:left="5003" w:hanging="360"/>
      </w:pPr>
      <w:rPr>
        <w:rFonts w:ascii="Wingdings" w:hAnsi="Wingdings" w:hint="default"/>
      </w:rPr>
    </w:lvl>
    <w:lvl w:ilvl="6" w:tplc="1C090001" w:tentative="1">
      <w:start w:val="1"/>
      <w:numFmt w:val="bullet"/>
      <w:lvlText w:val=""/>
      <w:lvlJc w:val="left"/>
      <w:pPr>
        <w:ind w:left="5723" w:hanging="360"/>
      </w:pPr>
      <w:rPr>
        <w:rFonts w:ascii="Symbol" w:hAnsi="Symbol" w:hint="default"/>
      </w:rPr>
    </w:lvl>
    <w:lvl w:ilvl="7" w:tplc="1C090003" w:tentative="1">
      <w:start w:val="1"/>
      <w:numFmt w:val="bullet"/>
      <w:lvlText w:val="o"/>
      <w:lvlJc w:val="left"/>
      <w:pPr>
        <w:ind w:left="6443" w:hanging="360"/>
      </w:pPr>
      <w:rPr>
        <w:rFonts w:ascii="Courier New" w:hAnsi="Courier New" w:cs="Courier New" w:hint="default"/>
      </w:rPr>
    </w:lvl>
    <w:lvl w:ilvl="8" w:tplc="1C090005" w:tentative="1">
      <w:start w:val="1"/>
      <w:numFmt w:val="bullet"/>
      <w:lvlText w:val=""/>
      <w:lvlJc w:val="left"/>
      <w:pPr>
        <w:ind w:left="7163" w:hanging="360"/>
      </w:pPr>
      <w:rPr>
        <w:rFonts w:ascii="Wingdings" w:hAnsi="Wingdings" w:hint="default"/>
      </w:rPr>
    </w:lvl>
  </w:abstractNum>
  <w:num w:numId="1">
    <w:abstractNumId w:val="11"/>
  </w:num>
  <w:num w:numId="2">
    <w:abstractNumId w:val="22"/>
  </w:num>
  <w:num w:numId="3">
    <w:abstractNumId w:val="15"/>
  </w:num>
  <w:num w:numId="4">
    <w:abstractNumId w:val="10"/>
  </w:num>
  <w:num w:numId="5">
    <w:abstractNumId w:val="8"/>
  </w:num>
  <w:num w:numId="6">
    <w:abstractNumId w:val="16"/>
  </w:num>
  <w:num w:numId="7">
    <w:abstractNumId w:val="3"/>
  </w:num>
  <w:num w:numId="8">
    <w:abstractNumId w:val="24"/>
  </w:num>
  <w:num w:numId="9">
    <w:abstractNumId w:val="17"/>
  </w:num>
  <w:num w:numId="10">
    <w:abstractNumId w:val="12"/>
  </w:num>
  <w:num w:numId="11">
    <w:abstractNumId w:val="0"/>
  </w:num>
  <w:num w:numId="12">
    <w:abstractNumId w:val="9"/>
  </w:num>
  <w:num w:numId="13">
    <w:abstractNumId w:val="13"/>
  </w:num>
  <w:num w:numId="14">
    <w:abstractNumId w:val="4"/>
  </w:num>
  <w:num w:numId="15">
    <w:abstractNumId w:val="5"/>
  </w:num>
  <w:num w:numId="16">
    <w:abstractNumId w:val="25"/>
  </w:num>
  <w:num w:numId="17">
    <w:abstractNumId w:val="18"/>
  </w:num>
  <w:num w:numId="18">
    <w:abstractNumId w:val="19"/>
  </w:num>
  <w:num w:numId="19">
    <w:abstractNumId w:val="14"/>
  </w:num>
  <w:num w:numId="20">
    <w:abstractNumId w:val="7"/>
  </w:num>
  <w:num w:numId="21">
    <w:abstractNumId w:val="2"/>
  </w:num>
  <w:num w:numId="22">
    <w:abstractNumId w:val="6"/>
  </w:num>
  <w:num w:numId="23">
    <w:abstractNumId w:val="20"/>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lvlOverride w:ilvl="2"/>
    <w:lvlOverride w:ilvl="3"/>
    <w:lvlOverride w:ilvl="4"/>
    <w:lvlOverride w:ilvl="5"/>
    <w:lvlOverride w:ilvl="6"/>
    <w:lvlOverride w:ilvl="7"/>
    <w:lvlOverride w:ilv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9D"/>
    <w:rsid w:val="000145D9"/>
    <w:rsid w:val="00036912"/>
    <w:rsid w:val="00037AEC"/>
    <w:rsid w:val="00042B53"/>
    <w:rsid w:val="000A17DB"/>
    <w:rsid w:val="000A4DA1"/>
    <w:rsid w:val="000C5D6A"/>
    <w:rsid w:val="000D2B9E"/>
    <w:rsid w:val="0011408B"/>
    <w:rsid w:val="00147915"/>
    <w:rsid w:val="00155FFB"/>
    <w:rsid w:val="00165896"/>
    <w:rsid w:val="001711DF"/>
    <w:rsid w:val="001C4041"/>
    <w:rsid w:val="001E2B83"/>
    <w:rsid w:val="001F3378"/>
    <w:rsid w:val="00230AFB"/>
    <w:rsid w:val="00233B7D"/>
    <w:rsid w:val="00241171"/>
    <w:rsid w:val="0024543C"/>
    <w:rsid w:val="00245C25"/>
    <w:rsid w:val="002C0986"/>
    <w:rsid w:val="002C2B38"/>
    <w:rsid w:val="002C68E5"/>
    <w:rsid w:val="002F210F"/>
    <w:rsid w:val="00301F89"/>
    <w:rsid w:val="00304F0C"/>
    <w:rsid w:val="00321EA5"/>
    <w:rsid w:val="00345B38"/>
    <w:rsid w:val="0040742D"/>
    <w:rsid w:val="00413799"/>
    <w:rsid w:val="0041482A"/>
    <w:rsid w:val="00441ED7"/>
    <w:rsid w:val="00493D94"/>
    <w:rsid w:val="004C53B5"/>
    <w:rsid w:val="004E422F"/>
    <w:rsid w:val="00503E1C"/>
    <w:rsid w:val="00520178"/>
    <w:rsid w:val="00525CE7"/>
    <w:rsid w:val="00547107"/>
    <w:rsid w:val="005E4297"/>
    <w:rsid w:val="005E7FFD"/>
    <w:rsid w:val="005F6C0B"/>
    <w:rsid w:val="00620222"/>
    <w:rsid w:val="006363DD"/>
    <w:rsid w:val="006451D1"/>
    <w:rsid w:val="0067487A"/>
    <w:rsid w:val="006979DA"/>
    <w:rsid w:val="006C0D7B"/>
    <w:rsid w:val="006C1283"/>
    <w:rsid w:val="006C546F"/>
    <w:rsid w:val="006C6CAB"/>
    <w:rsid w:val="00731ABE"/>
    <w:rsid w:val="007F77E5"/>
    <w:rsid w:val="0081640B"/>
    <w:rsid w:val="008778BB"/>
    <w:rsid w:val="008903D3"/>
    <w:rsid w:val="008B6030"/>
    <w:rsid w:val="009052BF"/>
    <w:rsid w:val="00921883"/>
    <w:rsid w:val="00921CCB"/>
    <w:rsid w:val="009345B4"/>
    <w:rsid w:val="009425F1"/>
    <w:rsid w:val="009703B1"/>
    <w:rsid w:val="00982DD4"/>
    <w:rsid w:val="009835A2"/>
    <w:rsid w:val="00994F4E"/>
    <w:rsid w:val="00995657"/>
    <w:rsid w:val="009C30AB"/>
    <w:rsid w:val="009D4011"/>
    <w:rsid w:val="009D45FD"/>
    <w:rsid w:val="00A21A14"/>
    <w:rsid w:val="00A31CC1"/>
    <w:rsid w:val="00A46F94"/>
    <w:rsid w:val="00A9319E"/>
    <w:rsid w:val="00AF10B5"/>
    <w:rsid w:val="00B01FE1"/>
    <w:rsid w:val="00B03ABA"/>
    <w:rsid w:val="00B220E1"/>
    <w:rsid w:val="00B432DD"/>
    <w:rsid w:val="00B662EF"/>
    <w:rsid w:val="00B8181F"/>
    <w:rsid w:val="00BA4033"/>
    <w:rsid w:val="00BA76BB"/>
    <w:rsid w:val="00BD13FA"/>
    <w:rsid w:val="00BD2C21"/>
    <w:rsid w:val="00BF6010"/>
    <w:rsid w:val="00C074BA"/>
    <w:rsid w:val="00C13EA2"/>
    <w:rsid w:val="00C51D5C"/>
    <w:rsid w:val="00C53D46"/>
    <w:rsid w:val="00CF7A91"/>
    <w:rsid w:val="00D247FA"/>
    <w:rsid w:val="00D460B3"/>
    <w:rsid w:val="00D51EBB"/>
    <w:rsid w:val="00DA207F"/>
    <w:rsid w:val="00DA3353"/>
    <w:rsid w:val="00DA5C94"/>
    <w:rsid w:val="00DC0177"/>
    <w:rsid w:val="00DC57BD"/>
    <w:rsid w:val="00E6469D"/>
    <w:rsid w:val="00E77D9E"/>
    <w:rsid w:val="00E94FE0"/>
    <w:rsid w:val="00EE23BE"/>
    <w:rsid w:val="00F038D5"/>
    <w:rsid w:val="00F173D7"/>
    <w:rsid w:val="00F20F6C"/>
    <w:rsid w:val="00F33C3F"/>
    <w:rsid w:val="00F34490"/>
    <w:rsid w:val="00F43679"/>
    <w:rsid w:val="00F57B93"/>
    <w:rsid w:val="00F64DAC"/>
    <w:rsid w:val="00F65387"/>
    <w:rsid w:val="00F6721A"/>
    <w:rsid w:val="00F8376D"/>
    <w:rsid w:val="00FA62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CB2EE6-3777-46E0-8617-D48F0FCD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03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03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03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33B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69D"/>
    <w:pPr>
      <w:ind w:left="720"/>
      <w:contextualSpacing/>
    </w:pPr>
  </w:style>
  <w:style w:type="paragraph" w:customStyle="1" w:styleId="Default">
    <w:name w:val="Default"/>
    <w:rsid w:val="00E6469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41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7D9E"/>
    <w:rPr>
      <w:color w:val="0563C1" w:themeColor="hyperlink"/>
      <w:u w:val="single"/>
    </w:rPr>
  </w:style>
  <w:style w:type="paragraph" w:styleId="Header">
    <w:name w:val="header"/>
    <w:basedOn w:val="Normal"/>
    <w:link w:val="HeaderChar"/>
    <w:uiPriority w:val="99"/>
    <w:unhideWhenUsed/>
    <w:rsid w:val="00493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94"/>
  </w:style>
  <w:style w:type="paragraph" w:styleId="Footer">
    <w:name w:val="footer"/>
    <w:basedOn w:val="Normal"/>
    <w:link w:val="FooterChar"/>
    <w:uiPriority w:val="99"/>
    <w:unhideWhenUsed/>
    <w:rsid w:val="00493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94"/>
  </w:style>
  <w:style w:type="character" w:customStyle="1" w:styleId="Heading1Char">
    <w:name w:val="Heading 1 Char"/>
    <w:basedOn w:val="DefaultParagraphFont"/>
    <w:link w:val="Heading1"/>
    <w:uiPriority w:val="9"/>
    <w:rsid w:val="008903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03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903D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903D3"/>
    <w:pPr>
      <w:outlineLvl w:val="9"/>
    </w:pPr>
    <w:rPr>
      <w:lang w:val="en-US"/>
    </w:rPr>
  </w:style>
  <w:style w:type="paragraph" w:styleId="TOC1">
    <w:name w:val="toc 1"/>
    <w:basedOn w:val="Normal"/>
    <w:next w:val="Normal"/>
    <w:autoRedefine/>
    <w:uiPriority w:val="39"/>
    <w:unhideWhenUsed/>
    <w:rsid w:val="008903D3"/>
    <w:pPr>
      <w:spacing w:after="100"/>
    </w:pPr>
  </w:style>
  <w:style w:type="paragraph" w:styleId="TOC2">
    <w:name w:val="toc 2"/>
    <w:basedOn w:val="Normal"/>
    <w:next w:val="Normal"/>
    <w:autoRedefine/>
    <w:uiPriority w:val="39"/>
    <w:unhideWhenUsed/>
    <w:rsid w:val="008903D3"/>
    <w:pPr>
      <w:spacing w:after="100"/>
      <w:ind w:left="220"/>
    </w:pPr>
  </w:style>
  <w:style w:type="paragraph" w:styleId="TOC3">
    <w:name w:val="toc 3"/>
    <w:basedOn w:val="Normal"/>
    <w:next w:val="Normal"/>
    <w:autoRedefine/>
    <w:uiPriority w:val="39"/>
    <w:unhideWhenUsed/>
    <w:rsid w:val="008903D3"/>
    <w:pPr>
      <w:spacing w:after="100"/>
      <w:ind w:left="440"/>
    </w:pPr>
  </w:style>
  <w:style w:type="character" w:customStyle="1" w:styleId="Heading4Char">
    <w:name w:val="Heading 4 Char"/>
    <w:basedOn w:val="DefaultParagraphFont"/>
    <w:link w:val="Heading4"/>
    <w:uiPriority w:val="9"/>
    <w:rsid w:val="00233B7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1516">
      <w:bodyDiv w:val="1"/>
      <w:marLeft w:val="0"/>
      <w:marRight w:val="0"/>
      <w:marTop w:val="0"/>
      <w:marBottom w:val="0"/>
      <w:divBdr>
        <w:top w:val="none" w:sz="0" w:space="0" w:color="auto"/>
        <w:left w:val="none" w:sz="0" w:space="0" w:color="auto"/>
        <w:bottom w:val="none" w:sz="0" w:space="0" w:color="auto"/>
        <w:right w:val="none" w:sz="0" w:space="0" w:color="auto"/>
      </w:divBdr>
    </w:div>
    <w:div w:id="106897561">
      <w:bodyDiv w:val="1"/>
      <w:marLeft w:val="0"/>
      <w:marRight w:val="0"/>
      <w:marTop w:val="0"/>
      <w:marBottom w:val="0"/>
      <w:divBdr>
        <w:top w:val="none" w:sz="0" w:space="0" w:color="auto"/>
        <w:left w:val="none" w:sz="0" w:space="0" w:color="auto"/>
        <w:bottom w:val="none" w:sz="0" w:space="0" w:color="auto"/>
        <w:right w:val="none" w:sz="0" w:space="0" w:color="auto"/>
      </w:divBdr>
    </w:div>
    <w:div w:id="317878989">
      <w:bodyDiv w:val="1"/>
      <w:marLeft w:val="0"/>
      <w:marRight w:val="0"/>
      <w:marTop w:val="0"/>
      <w:marBottom w:val="0"/>
      <w:divBdr>
        <w:top w:val="none" w:sz="0" w:space="0" w:color="auto"/>
        <w:left w:val="none" w:sz="0" w:space="0" w:color="auto"/>
        <w:bottom w:val="none" w:sz="0" w:space="0" w:color="auto"/>
        <w:right w:val="none" w:sz="0" w:space="0" w:color="auto"/>
      </w:divBdr>
    </w:div>
    <w:div w:id="816920477">
      <w:bodyDiv w:val="1"/>
      <w:marLeft w:val="0"/>
      <w:marRight w:val="0"/>
      <w:marTop w:val="0"/>
      <w:marBottom w:val="0"/>
      <w:divBdr>
        <w:top w:val="none" w:sz="0" w:space="0" w:color="auto"/>
        <w:left w:val="none" w:sz="0" w:space="0" w:color="auto"/>
        <w:bottom w:val="none" w:sz="0" w:space="0" w:color="auto"/>
        <w:right w:val="none" w:sz="0" w:space="0" w:color="auto"/>
      </w:divBdr>
    </w:div>
    <w:div w:id="909778295">
      <w:bodyDiv w:val="1"/>
      <w:marLeft w:val="0"/>
      <w:marRight w:val="0"/>
      <w:marTop w:val="0"/>
      <w:marBottom w:val="0"/>
      <w:divBdr>
        <w:top w:val="none" w:sz="0" w:space="0" w:color="auto"/>
        <w:left w:val="none" w:sz="0" w:space="0" w:color="auto"/>
        <w:bottom w:val="none" w:sz="0" w:space="0" w:color="auto"/>
        <w:right w:val="none" w:sz="0" w:space="0" w:color="auto"/>
      </w:divBdr>
    </w:div>
    <w:div w:id="978803948">
      <w:bodyDiv w:val="1"/>
      <w:marLeft w:val="0"/>
      <w:marRight w:val="0"/>
      <w:marTop w:val="0"/>
      <w:marBottom w:val="0"/>
      <w:divBdr>
        <w:top w:val="none" w:sz="0" w:space="0" w:color="auto"/>
        <w:left w:val="none" w:sz="0" w:space="0" w:color="auto"/>
        <w:bottom w:val="none" w:sz="0" w:space="0" w:color="auto"/>
        <w:right w:val="none" w:sz="0" w:space="0" w:color="auto"/>
      </w:divBdr>
    </w:div>
    <w:div w:id="1134057202">
      <w:bodyDiv w:val="1"/>
      <w:marLeft w:val="0"/>
      <w:marRight w:val="0"/>
      <w:marTop w:val="0"/>
      <w:marBottom w:val="0"/>
      <w:divBdr>
        <w:top w:val="none" w:sz="0" w:space="0" w:color="auto"/>
        <w:left w:val="none" w:sz="0" w:space="0" w:color="auto"/>
        <w:bottom w:val="none" w:sz="0" w:space="0" w:color="auto"/>
        <w:right w:val="none" w:sz="0" w:space="0" w:color="auto"/>
      </w:divBdr>
    </w:div>
    <w:div w:id="1489243794">
      <w:bodyDiv w:val="1"/>
      <w:marLeft w:val="0"/>
      <w:marRight w:val="0"/>
      <w:marTop w:val="0"/>
      <w:marBottom w:val="0"/>
      <w:divBdr>
        <w:top w:val="none" w:sz="0" w:space="0" w:color="auto"/>
        <w:left w:val="none" w:sz="0" w:space="0" w:color="auto"/>
        <w:bottom w:val="none" w:sz="0" w:space="0" w:color="auto"/>
        <w:right w:val="none" w:sz="0" w:space="0" w:color="auto"/>
      </w:divBdr>
    </w:div>
    <w:div w:id="16882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tmp"/><Relationship Id="rId18" Type="http://schemas.openxmlformats.org/officeDocument/2006/relationships/hyperlink" Target="http://www.supportbusiness.co.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izportal.gov.za" TargetMode="Externa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1.xml"/><Relationship Id="rId25" Type="http://schemas.openxmlformats.org/officeDocument/2006/relationships/hyperlink" Target="http://www.bizportal.gov.za"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upportbusiness.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upportbusiness.co.za" TargetMode="External"/><Relationship Id="rId5" Type="http://schemas.openxmlformats.org/officeDocument/2006/relationships/webSettings" Target="webSettings.xml"/><Relationship Id="rId15" Type="http://schemas.openxmlformats.org/officeDocument/2006/relationships/image" Target="cid:image003.jpg@01D67212.00F544A0" TargetMode="External"/><Relationship Id="rId23" Type="http://schemas.openxmlformats.org/officeDocument/2006/relationships/hyperlink" Target="http://www.bizportal.gov.za" TargetMode="External"/><Relationship Id="rId10" Type="http://schemas.openxmlformats.org/officeDocument/2006/relationships/image" Target="media/image3.png"/><Relationship Id="rId19" Type="http://schemas.openxmlformats.org/officeDocument/2006/relationships/hyperlink" Target="http://www.bizportal.gov.z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supportbusiness.co.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6599-559D-4656-9896-E66CB913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25546</TotalTime>
  <Pages>29</Pages>
  <Words>7388</Words>
  <Characters>42113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DRAFT BERGRIVIER ECONOMIC RECOVERY PLAN - 2020</vt:lpstr>
    </vt:vector>
  </TitlesOfParts>
  <Company/>
  <LinksUpToDate>false</LinksUpToDate>
  <CharactersWithSpaces>49403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BERGRIVIER ECONOMIC RECOVERY PLAN - 2020</dc:title>
  <dc:subject/>
  <dc:creator>Alletta van Sittert</dc:creator>
  <cp:keywords/>
  <dc:description/>
  <cp:lastModifiedBy>Alletta van Sittert</cp:lastModifiedBy>
  <cp:revision>77</cp:revision>
  <cp:lastPrinted>2020-07-27T12:11:00Z</cp:lastPrinted>
  <dcterms:created xsi:type="dcterms:W3CDTF">2020-07-16T09:56:00Z</dcterms:created>
  <dcterms:modified xsi:type="dcterms:W3CDTF">2020-08-21T06:44:00Z</dcterms:modified>
</cp:coreProperties>
</file>